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71C05" w14:textId="77777777" w:rsidR="00ED7BC3" w:rsidRDefault="00895E03" w:rsidP="00895E03">
      <w:pPr>
        <w:jc w:val="center"/>
        <w:rPr>
          <w:b/>
          <w:sz w:val="28"/>
          <w:szCs w:val="28"/>
        </w:rPr>
      </w:pPr>
      <w:bookmarkStart w:id="0" w:name="_GoBack"/>
      <w:bookmarkEnd w:id="0"/>
      <w:r w:rsidRPr="007803BB">
        <w:rPr>
          <w:b/>
          <w:sz w:val="28"/>
          <w:szCs w:val="28"/>
        </w:rPr>
        <w:t>User Needs Analysis</w:t>
      </w:r>
      <w:r w:rsidR="00ED7BC3">
        <w:rPr>
          <w:b/>
          <w:sz w:val="28"/>
          <w:szCs w:val="28"/>
        </w:rPr>
        <w:t xml:space="preserve"> for the Development of the </w:t>
      </w:r>
    </w:p>
    <w:p w14:paraId="3A5B05C7" w14:textId="32C8106E" w:rsidR="00895E03" w:rsidRPr="007803BB" w:rsidRDefault="00ED7BC3" w:rsidP="00895E03">
      <w:pPr>
        <w:jc w:val="center"/>
        <w:rPr>
          <w:b/>
          <w:sz w:val="28"/>
          <w:szCs w:val="28"/>
        </w:rPr>
      </w:pPr>
      <w:r w:rsidRPr="007803BB">
        <w:rPr>
          <w:b/>
          <w:sz w:val="28"/>
          <w:szCs w:val="28"/>
        </w:rPr>
        <w:t>On-Line Impact Assessment Tool</w:t>
      </w:r>
      <w:r>
        <w:rPr>
          <w:b/>
          <w:sz w:val="28"/>
          <w:szCs w:val="28"/>
        </w:rPr>
        <w:t>kit</w:t>
      </w:r>
    </w:p>
    <w:p w14:paraId="50F98500" w14:textId="77777777" w:rsidR="00895E03" w:rsidRPr="007D7EDF" w:rsidRDefault="00895E03" w:rsidP="00895E03">
      <w:pPr>
        <w:jc w:val="center"/>
        <w:rPr>
          <w:sz w:val="22"/>
          <w:szCs w:val="22"/>
        </w:rPr>
      </w:pPr>
    </w:p>
    <w:p w14:paraId="0968153A" w14:textId="77777777" w:rsidR="00885F30" w:rsidRPr="007D7EDF" w:rsidRDefault="00885F30" w:rsidP="008210D0">
      <w:pPr>
        <w:rPr>
          <w:b/>
          <w:sz w:val="22"/>
          <w:szCs w:val="22"/>
          <w:lang w:eastAsia="ja-JP"/>
        </w:rPr>
      </w:pPr>
    </w:p>
    <w:p w14:paraId="5C595516" w14:textId="77777777" w:rsidR="008210D0" w:rsidRPr="007803BB" w:rsidRDefault="008210D0" w:rsidP="008210D0">
      <w:pPr>
        <w:rPr>
          <w:b/>
          <w:lang w:eastAsia="ja-JP"/>
        </w:rPr>
      </w:pPr>
      <w:r w:rsidRPr="007803BB">
        <w:rPr>
          <w:b/>
          <w:lang w:eastAsia="ja-JP"/>
        </w:rPr>
        <w:t>Introduction and Objectives</w:t>
      </w:r>
    </w:p>
    <w:p w14:paraId="792A9780" w14:textId="77777777" w:rsidR="00143128" w:rsidRPr="00143128" w:rsidRDefault="00143128" w:rsidP="00143128">
      <w:pPr>
        <w:rPr>
          <w:sz w:val="16"/>
          <w:szCs w:val="16"/>
          <w:lang w:eastAsia="ja-JP"/>
        </w:rPr>
      </w:pPr>
    </w:p>
    <w:p w14:paraId="3A947B33" w14:textId="00629A5E" w:rsidR="00720C7C" w:rsidRPr="007D7EDF" w:rsidRDefault="008210D0" w:rsidP="008210D0">
      <w:pPr>
        <w:rPr>
          <w:sz w:val="22"/>
          <w:szCs w:val="22"/>
          <w:lang w:eastAsia="ja-JP"/>
        </w:rPr>
      </w:pPr>
      <w:r w:rsidRPr="007D7EDF">
        <w:rPr>
          <w:sz w:val="22"/>
          <w:szCs w:val="22"/>
          <w:lang w:eastAsia="ja-JP"/>
        </w:rPr>
        <w:t>Michigan State University, in partnership with the Ingham County Health Department, is developing a GIS-based analytic tool</w:t>
      </w:r>
      <w:r w:rsidR="008403CA" w:rsidRPr="007D7EDF">
        <w:rPr>
          <w:sz w:val="22"/>
          <w:szCs w:val="22"/>
          <w:lang w:eastAsia="ja-JP"/>
        </w:rPr>
        <w:t>kit</w:t>
      </w:r>
      <w:r w:rsidRPr="007D7EDF">
        <w:rPr>
          <w:sz w:val="22"/>
          <w:szCs w:val="22"/>
          <w:lang w:eastAsia="ja-JP"/>
        </w:rPr>
        <w:t xml:space="preserve"> for evaluating the effects of local planning and decision making on community health and health equity in Michigan’s Capital Region</w:t>
      </w:r>
      <w:r w:rsidR="008403CA" w:rsidRPr="007D7EDF">
        <w:rPr>
          <w:sz w:val="22"/>
          <w:szCs w:val="22"/>
          <w:lang w:eastAsia="ja-JP"/>
        </w:rPr>
        <w:t>.</w:t>
      </w:r>
      <w:r w:rsidR="007803BB">
        <w:rPr>
          <w:rStyle w:val="FootnoteReference"/>
          <w:sz w:val="22"/>
          <w:szCs w:val="22"/>
          <w:lang w:eastAsia="ja-JP"/>
        </w:rPr>
        <w:footnoteReference w:id="1"/>
      </w:r>
    </w:p>
    <w:p w14:paraId="4872DC45" w14:textId="77777777" w:rsidR="008210D0" w:rsidRPr="00143128" w:rsidRDefault="008210D0" w:rsidP="008210D0">
      <w:pPr>
        <w:rPr>
          <w:sz w:val="16"/>
          <w:szCs w:val="16"/>
          <w:lang w:eastAsia="ja-JP"/>
        </w:rPr>
      </w:pPr>
    </w:p>
    <w:p w14:paraId="199705E9" w14:textId="354AC01A" w:rsidR="008210D0" w:rsidRPr="007D7EDF" w:rsidRDefault="008210D0" w:rsidP="008210D0">
      <w:pPr>
        <w:rPr>
          <w:sz w:val="22"/>
          <w:szCs w:val="22"/>
          <w:lang w:eastAsia="ja-JP"/>
        </w:rPr>
      </w:pPr>
      <w:r w:rsidRPr="007D7EDF">
        <w:rPr>
          <w:sz w:val="22"/>
          <w:szCs w:val="22"/>
          <w:lang w:eastAsia="ja-JP"/>
        </w:rPr>
        <w:t xml:space="preserve">It is our goal to develop information resources, research, and planning support tools to create an open access, integrated, and comprehensive information resource unprecedented in the other communities in the U.S. These visualization and analytical tools </w:t>
      </w:r>
      <w:r w:rsidRPr="007D7EDF">
        <w:rPr>
          <w:rFonts w:eastAsia="Times New Roman"/>
          <w:sz w:val="22"/>
          <w:szCs w:val="22"/>
        </w:rPr>
        <w:t xml:space="preserve">will allow users to access data on the public health and related impacts of various development types </w:t>
      </w:r>
      <w:r w:rsidR="00D64B63" w:rsidRPr="007D7EDF">
        <w:rPr>
          <w:rFonts w:eastAsia="Times New Roman"/>
          <w:sz w:val="22"/>
          <w:szCs w:val="22"/>
        </w:rPr>
        <w:t xml:space="preserve">ranging from </w:t>
      </w:r>
      <w:r w:rsidRPr="007D7EDF">
        <w:rPr>
          <w:rFonts w:eastAsia="Times New Roman"/>
          <w:sz w:val="22"/>
          <w:szCs w:val="22"/>
        </w:rPr>
        <w:t xml:space="preserve">housing to </w:t>
      </w:r>
      <w:r w:rsidR="00D64B63" w:rsidRPr="007D7EDF">
        <w:rPr>
          <w:rFonts w:eastAsia="Times New Roman"/>
          <w:sz w:val="22"/>
          <w:szCs w:val="22"/>
        </w:rPr>
        <w:t xml:space="preserve">commercial to </w:t>
      </w:r>
      <w:r w:rsidRPr="007D7EDF">
        <w:rPr>
          <w:rFonts w:eastAsia="Times New Roman"/>
          <w:sz w:val="22"/>
          <w:szCs w:val="22"/>
        </w:rPr>
        <w:t xml:space="preserve">office </w:t>
      </w:r>
      <w:r w:rsidR="00D64B63" w:rsidRPr="007D7EDF">
        <w:rPr>
          <w:rFonts w:eastAsia="Times New Roman"/>
          <w:sz w:val="22"/>
          <w:szCs w:val="22"/>
        </w:rPr>
        <w:t>and to</w:t>
      </w:r>
      <w:r w:rsidRPr="007D7EDF">
        <w:rPr>
          <w:rFonts w:eastAsia="Times New Roman"/>
          <w:sz w:val="22"/>
          <w:szCs w:val="22"/>
        </w:rPr>
        <w:t xml:space="preserve"> industrial development</w:t>
      </w:r>
      <w:r w:rsidR="00D64B63" w:rsidRPr="007D7EDF">
        <w:rPr>
          <w:rFonts w:eastAsia="Times New Roman"/>
          <w:sz w:val="22"/>
          <w:szCs w:val="22"/>
        </w:rPr>
        <w:t xml:space="preserve"> throughout the region</w:t>
      </w:r>
      <w:r w:rsidRPr="007D7EDF">
        <w:rPr>
          <w:rFonts w:eastAsia="Times New Roman"/>
          <w:sz w:val="22"/>
          <w:szCs w:val="22"/>
        </w:rPr>
        <w:t xml:space="preserve">. The </w:t>
      </w:r>
      <w:r w:rsidR="00611B3B" w:rsidRPr="00611B3B">
        <w:rPr>
          <w:sz w:val="22"/>
          <w:szCs w:val="22"/>
          <w:lang w:eastAsia="ja-JP"/>
        </w:rPr>
        <w:t>Regional Impact Assessment Toolkit and Information Resource</w:t>
      </w:r>
      <w:r w:rsidR="00611B3B">
        <w:rPr>
          <w:rFonts w:eastAsia="Times New Roman"/>
          <w:sz w:val="22"/>
          <w:szCs w:val="22"/>
        </w:rPr>
        <w:t xml:space="preserve"> </w:t>
      </w:r>
      <w:r w:rsidR="001E1F33">
        <w:rPr>
          <w:rFonts w:eastAsia="Times New Roman"/>
          <w:sz w:val="22"/>
          <w:szCs w:val="22"/>
        </w:rPr>
        <w:t xml:space="preserve">(“HIA Tool”) </w:t>
      </w:r>
      <w:r w:rsidRPr="007D7EDF">
        <w:rPr>
          <w:rFonts w:eastAsia="Times New Roman"/>
          <w:sz w:val="22"/>
          <w:szCs w:val="22"/>
        </w:rPr>
        <w:t xml:space="preserve">can demonstrate exact parcel relationships within the </w:t>
      </w:r>
      <w:r w:rsidR="00D64B63" w:rsidRPr="007D7EDF">
        <w:rPr>
          <w:rFonts w:eastAsia="Times New Roman"/>
          <w:sz w:val="22"/>
          <w:szCs w:val="22"/>
        </w:rPr>
        <w:t>region</w:t>
      </w:r>
      <w:r w:rsidRPr="007D7EDF">
        <w:rPr>
          <w:rFonts w:eastAsia="Times New Roman"/>
          <w:sz w:val="22"/>
          <w:szCs w:val="22"/>
        </w:rPr>
        <w:t>; pollution levels; and proximity to schools, trails, commerce centers, fresh food grocers, farmers markets, and emergency services; and many other indicators of public health.</w:t>
      </w:r>
    </w:p>
    <w:p w14:paraId="167A9ECB" w14:textId="77777777" w:rsidR="00143128" w:rsidRPr="00143128" w:rsidRDefault="00143128" w:rsidP="00143128">
      <w:pPr>
        <w:rPr>
          <w:sz w:val="16"/>
          <w:szCs w:val="16"/>
          <w:lang w:eastAsia="ja-JP"/>
        </w:rPr>
      </w:pPr>
    </w:p>
    <w:p w14:paraId="5F690304" w14:textId="10DCD2C8" w:rsidR="00611B3B" w:rsidRPr="007D7EDF" w:rsidRDefault="00611B3B" w:rsidP="00611B3B">
      <w:pPr>
        <w:rPr>
          <w:sz w:val="22"/>
          <w:szCs w:val="22"/>
          <w:lang w:eastAsia="ja-JP"/>
        </w:rPr>
      </w:pPr>
      <w:r w:rsidRPr="007D7EDF">
        <w:rPr>
          <w:sz w:val="22"/>
          <w:szCs w:val="22"/>
          <w:lang w:eastAsia="ja-JP"/>
        </w:rPr>
        <w:t xml:space="preserve">When completed, the </w:t>
      </w:r>
      <w:r w:rsidR="001E1F33">
        <w:rPr>
          <w:sz w:val="22"/>
          <w:szCs w:val="22"/>
          <w:lang w:eastAsia="ja-JP"/>
        </w:rPr>
        <w:t>online HIA Tool</w:t>
      </w:r>
      <w:r w:rsidR="00051D73">
        <w:rPr>
          <w:sz w:val="22"/>
          <w:szCs w:val="22"/>
          <w:lang w:eastAsia="ja-JP"/>
        </w:rPr>
        <w:t>kit</w:t>
      </w:r>
      <w:r w:rsidR="001E1F33" w:rsidRPr="00611B3B">
        <w:rPr>
          <w:sz w:val="22"/>
          <w:szCs w:val="22"/>
          <w:lang w:eastAsia="ja-JP"/>
        </w:rPr>
        <w:t xml:space="preserve"> </w:t>
      </w:r>
      <w:r w:rsidRPr="007D7EDF">
        <w:rPr>
          <w:sz w:val="22"/>
          <w:szCs w:val="22"/>
          <w:lang w:eastAsia="ja-JP"/>
        </w:rPr>
        <w:t>will meet the following objectives:</w:t>
      </w:r>
    </w:p>
    <w:p w14:paraId="5AA59D8C" w14:textId="646AE13F" w:rsidR="00611B3B" w:rsidRDefault="00611B3B" w:rsidP="00611B3B">
      <w:pPr>
        <w:pStyle w:val="ListParagraph"/>
        <w:numPr>
          <w:ilvl w:val="0"/>
          <w:numId w:val="4"/>
        </w:numPr>
        <w:rPr>
          <w:sz w:val="22"/>
          <w:szCs w:val="22"/>
          <w:lang w:eastAsia="ja-JP"/>
        </w:rPr>
      </w:pPr>
      <w:r w:rsidRPr="007D7EDF">
        <w:rPr>
          <w:sz w:val="22"/>
          <w:szCs w:val="22"/>
          <w:lang w:eastAsia="ja-JP"/>
        </w:rPr>
        <w:t>Provide GIS data access, visualization, and mapping capabilities to communities and the public in Clinton, Eaton, and Ingham Counties</w:t>
      </w:r>
      <w:r w:rsidR="001E1F33">
        <w:rPr>
          <w:sz w:val="22"/>
          <w:szCs w:val="22"/>
          <w:lang w:eastAsia="ja-JP"/>
        </w:rPr>
        <w:t xml:space="preserve">, freely accessible via the </w:t>
      </w:r>
      <w:r w:rsidR="001E1F33" w:rsidRPr="007D7EDF">
        <w:rPr>
          <w:sz w:val="22"/>
          <w:szCs w:val="22"/>
          <w:lang w:eastAsia="ja-JP"/>
        </w:rPr>
        <w:t>Tri-County Regional Planning Commission</w:t>
      </w:r>
      <w:r w:rsidR="001E1F33">
        <w:rPr>
          <w:sz w:val="22"/>
          <w:szCs w:val="22"/>
          <w:lang w:eastAsia="ja-JP"/>
        </w:rPr>
        <w:t xml:space="preserve"> website</w:t>
      </w:r>
      <w:r w:rsidRPr="007D7EDF">
        <w:rPr>
          <w:sz w:val="22"/>
          <w:szCs w:val="22"/>
          <w:lang w:eastAsia="ja-JP"/>
        </w:rPr>
        <w:t>.</w:t>
      </w:r>
    </w:p>
    <w:p w14:paraId="0016F87D" w14:textId="77777777" w:rsidR="00605080" w:rsidRPr="00605080" w:rsidRDefault="00605080" w:rsidP="00605080">
      <w:pPr>
        <w:pStyle w:val="ListParagraph"/>
        <w:rPr>
          <w:sz w:val="8"/>
          <w:szCs w:val="8"/>
        </w:rPr>
      </w:pPr>
    </w:p>
    <w:p w14:paraId="1E99EFAF" w14:textId="77777777" w:rsidR="00611B3B" w:rsidRDefault="00611B3B" w:rsidP="00611B3B">
      <w:pPr>
        <w:pStyle w:val="ListParagraph"/>
        <w:numPr>
          <w:ilvl w:val="0"/>
          <w:numId w:val="4"/>
        </w:numPr>
        <w:rPr>
          <w:sz w:val="22"/>
          <w:szCs w:val="22"/>
          <w:lang w:eastAsia="ja-JP"/>
        </w:rPr>
      </w:pPr>
      <w:r w:rsidRPr="007D7EDF">
        <w:rPr>
          <w:sz w:val="22"/>
          <w:szCs w:val="22"/>
          <w:lang w:eastAsia="ja-JP"/>
        </w:rPr>
        <w:t>Incorporate information and methods to assess the environmental, social, economic, health, and energy effects of local and regional policies, programs, and projects in a geospatial format.</w:t>
      </w:r>
    </w:p>
    <w:p w14:paraId="76B46FBC" w14:textId="77777777" w:rsidR="00605080" w:rsidRPr="00605080" w:rsidRDefault="00605080" w:rsidP="00605080">
      <w:pPr>
        <w:pStyle w:val="ListParagraph"/>
        <w:rPr>
          <w:sz w:val="8"/>
          <w:szCs w:val="8"/>
        </w:rPr>
      </w:pPr>
    </w:p>
    <w:p w14:paraId="128CCEAA" w14:textId="77777777" w:rsidR="00611B3B" w:rsidRDefault="00611B3B" w:rsidP="00611B3B">
      <w:pPr>
        <w:pStyle w:val="ListParagraph"/>
        <w:numPr>
          <w:ilvl w:val="0"/>
          <w:numId w:val="4"/>
        </w:numPr>
        <w:rPr>
          <w:sz w:val="22"/>
          <w:szCs w:val="22"/>
          <w:lang w:eastAsia="ja-JP"/>
        </w:rPr>
      </w:pPr>
      <w:r w:rsidRPr="007D7EDF">
        <w:rPr>
          <w:sz w:val="22"/>
          <w:szCs w:val="22"/>
          <w:lang w:eastAsia="ja-JP"/>
        </w:rPr>
        <w:t>Allow multiple users/stakeholders to view and assess potential impacts on-line.</w:t>
      </w:r>
    </w:p>
    <w:p w14:paraId="164DAD65" w14:textId="77777777" w:rsidR="00605080" w:rsidRPr="00605080" w:rsidRDefault="00605080" w:rsidP="00605080">
      <w:pPr>
        <w:pStyle w:val="ListParagraph"/>
        <w:rPr>
          <w:sz w:val="8"/>
          <w:szCs w:val="8"/>
        </w:rPr>
      </w:pPr>
    </w:p>
    <w:p w14:paraId="3EE10B2D" w14:textId="77777777" w:rsidR="00611B3B" w:rsidRDefault="00611B3B" w:rsidP="00611B3B">
      <w:pPr>
        <w:pStyle w:val="ListParagraph"/>
        <w:numPr>
          <w:ilvl w:val="0"/>
          <w:numId w:val="4"/>
        </w:numPr>
        <w:rPr>
          <w:sz w:val="22"/>
          <w:szCs w:val="22"/>
          <w:lang w:eastAsia="ja-JP"/>
        </w:rPr>
      </w:pPr>
      <w:r w:rsidRPr="007D7EDF">
        <w:rPr>
          <w:sz w:val="22"/>
          <w:szCs w:val="22"/>
          <w:lang w:eastAsia="ja-JP"/>
        </w:rPr>
        <w:t xml:space="preserve">Provide opportunities for public discussion and debate through the graphic user interface and the </w:t>
      </w:r>
      <w:r w:rsidRPr="007D7EDF">
        <w:rPr>
          <w:i/>
          <w:sz w:val="22"/>
          <w:szCs w:val="22"/>
          <w:lang w:eastAsia="ja-JP"/>
        </w:rPr>
        <w:t>MindMixer</w:t>
      </w:r>
      <w:r w:rsidRPr="007D7EDF">
        <w:rPr>
          <w:sz w:val="22"/>
          <w:szCs w:val="22"/>
          <w:lang w:eastAsia="ja-JP"/>
        </w:rPr>
        <w:t xml:space="preserve"> application, accessible via the MMPGS Portal.</w:t>
      </w:r>
    </w:p>
    <w:p w14:paraId="4654B371" w14:textId="77777777" w:rsidR="00605080" w:rsidRPr="00605080" w:rsidRDefault="00605080" w:rsidP="00605080">
      <w:pPr>
        <w:pStyle w:val="ListParagraph"/>
        <w:rPr>
          <w:sz w:val="8"/>
          <w:szCs w:val="8"/>
        </w:rPr>
      </w:pPr>
    </w:p>
    <w:p w14:paraId="5A7698C2" w14:textId="77777777" w:rsidR="00611B3B" w:rsidRDefault="00611B3B" w:rsidP="00611B3B">
      <w:pPr>
        <w:pStyle w:val="ListParagraph"/>
        <w:numPr>
          <w:ilvl w:val="0"/>
          <w:numId w:val="4"/>
        </w:numPr>
        <w:rPr>
          <w:sz w:val="22"/>
          <w:szCs w:val="22"/>
          <w:lang w:eastAsia="ja-JP"/>
        </w:rPr>
      </w:pPr>
      <w:r w:rsidRPr="007D7EDF">
        <w:rPr>
          <w:sz w:val="22"/>
          <w:szCs w:val="22"/>
          <w:lang w:eastAsia="ja-JP"/>
        </w:rPr>
        <w:t>Provide training and technical support to communities within the region in the adoption and use of the toolkit in local planning and decisionmaking.</w:t>
      </w:r>
    </w:p>
    <w:p w14:paraId="37FF7799" w14:textId="77777777" w:rsidR="00605080" w:rsidRPr="00605080" w:rsidRDefault="00605080" w:rsidP="00605080">
      <w:pPr>
        <w:pStyle w:val="ListParagraph"/>
        <w:rPr>
          <w:sz w:val="8"/>
          <w:szCs w:val="8"/>
        </w:rPr>
      </w:pPr>
    </w:p>
    <w:p w14:paraId="1A22B970" w14:textId="03E0C94B" w:rsidR="001E1F33" w:rsidRPr="001E1F33" w:rsidRDefault="001E1F33" w:rsidP="001E1F33">
      <w:pPr>
        <w:pStyle w:val="ListParagraph"/>
        <w:numPr>
          <w:ilvl w:val="0"/>
          <w:numId w:val="4"/>
        </w:numPr>
        <w:rPr>
          <w:sz w:val="22"/>
          <w:szCs w:val="22"/>
          <w:lang w:eastAsia="ja-JP"/>
        </w:rPr>
      </w:pPr>
      <w:r w:rsidRPr="007D7EDF">
        <w:rPr>
          <w:sz w:val="22"/>
          <w:szCs w:val="22"/>
          <w:lang w:eastAsia="ja-JP"/>
        </w:rPr>
        <w:t>Seek additional funding resources to maintain and upgrade the toolkit as new technologies unfold.</w:t>
      </w:r>
    </w:p>
    <w:p w14:paraId="0F31B111" w14:textId="77777777" w:rsidR="00E21188" w:rsidRPr="00E21188" w:rsidRDefault="00E21188" w:rsidP="008210D0">
      <w:pPr>
        <w:rPr>
          <w:sz w:val="20"/>
          <w:szCs w:val="20"/>
          <w:lang w:eastAsia="ja-JP"/>
        </w:rPr>
      </w:pPr>
    </w:p>
    <w:p w14:paraId="38F280C9" w14:textId="191046A4" w:rsidR="00051D73" w:rsidRDefault="00051D73" w:rsidP="008210D0">
      <w:pPr>
        <w:rPr>
          <w:b/>
          <w:lang w:eastAsia="ja-JP"/>
        </w:rPr>
      </w:pPr>
      <w:r>
        <w:rPr>
          <w:b/>
          <w:lang w:eastAsia="ja-JP"/>
        </w:rPr>
        <w:t>User Needs Analysis</w:t>
      </w:r>
    </w:p>
    <w:p w14:paraId="72030DD2" w14:textId="77777777" w:rsidR="00143128" w:rsidRPr="00143128" w:rsidRDefault="00143128" w:rsidP="00143128">
      <w:pPr>
        <w:rPr>
          <w:sz w:val="16"/>
          <w:szCs w:val="16"/>
          <w:lang w:eastAsia="ja-JP"/>
        </w:rPr>
      </w:pPr>
    </w:p>
    <w:p w14:paraId="374AF52D" w14:textId="3DB304A3" w:rsidR="00051D73" w:rsidRDefault="00051D73" w:rsidP="00051D73">
      <w:pPr>
        <w:rPr>
          <w:sz w:val="22"/>
          <w:szCs w:val="22"/>
        </w:rPr>
      </w:pPr>
      <w:r w:rsidRPr="007D7EDF">
        <w:rPr>
          <w:sz w:val="22"/>
          <w:szCs w:val="22"/>
        </w:rPr>
        <w:t xml:space="preserve">Toolkit development will </w:t>
      </w:r>
      <w:r>
        <w:rPr>
          <w:sz w:val="22"/>
          <w:szCs w:val="22"/>
        </w:rPr>
        <w:t>be based, in part, on</w:t>
      </w:r>
      <w:r w:rsidRPr="007D7EDF">
        <w:rPr>
          <w:sz w:val="22"/>
          <w:szCs w:val="22"/>
        </w:rPr>
        <w:t xml:space="preserve"> a user needs analysis. Initially, user needs analysis will focus on the FAHP and URSM HIA stakeholder scoping meetings being conducted under the </w:t>
      </w:r>
      <w:r>
        <w:rPr>
          <w:sz w:val="22"/>
          <w:szCs w:val="22"/>
        </w:rPr>
        <w:t>Health Impact Assessment Project</w:t>
      </w:r>
      <w:r w:rsidRPr="007D7EDF">
        <w:rPr>
          <w:sz w:val="22"/>
          <w:szCs w:val="22"/>
        </w:rPr>
        <w:t xml:space="preserve"> and public interactions </w:t>
      </w:r>
      <w:r>
        <w:rPr>
          <w:sz w:val="22"/>
          <w:szCs w:val="22"/>
        </w:rPr>
        <w:t>in other regional projects</w:t>
      </w:r>
      <w:r w:rsidRPr="007D7EDF">
        <w:rPr>
          <w:sz w:val="22"/>
          <w:szCs w:val="22"/>
        </w:rPr>
        <w:t xml:space="preserve">. The user needs analysis will </w:t>
      </w:r>
      <w:r>
        <w:rPr>
          <w:sz w:val="22"/>
          <w:szCs w:val="22"/>
        </w:rPr>
        <w:t xml:space="preserve">help </w:t>
      </w:r>
      <w:r w:rsidRPr="007D7EDF">
        <w:rPr>
          <w:sz w:val="22"/>
          <w:szCs w:val="22"/>
        </w:rPr>
        <w:t xml:space="preserve">ensure that the </w:t>
      </w:r>
      <w:r>
        <w:rPr>
          <w:sz w:val="22"/>
          <w:szCs w:val="22"/>
          <w:lang w:eastAsia="ja-JP"/>
        </w:rPr>
        <w:t>HIA Toolkit</w:t>
      </w:r>
      <w:r w:rsidRPr="007D7EDF">
        <w:rPr>
          <w:sz w:val="22"/>
          <w:szCs w:val="22"/>
        </w:rPr>
        <w:t xml:space="preserve"> meets the needs of the target users in regional and local governments and private sector. Th</w:t>
      </w:r>
      <w:r>
        <w:rPr>
          <w:sz w:val="22"/>
          <w:szCs w:val="22"/>
        </w:rPr>
        <w:t>is analysis</w:t>
      </w:r>
      <w:r w:rsidRPr="007D7EDF">
        <w:rPr>
          <w:sz w:val="22"/>
          <w:szCs w:val="22"/>
        </w:rPr>
        <w:t xml:space="preserve"> will address the identified data needs, sources, and topics </w:t>
      </w:r>
      <w:r>
        <w:rPr>
          <w:sz w:val="22"/>
          <w:szCs w:val="22"/>
        </w:rPr>
        <w:t xml:space="preserve">and impact assessment functions </w:t>
      </w:r>
      <w:r w:rsidRPr="007D7EDF">
        <w:rPr>
          <w:sz w:val="22"/>
          <w:szCs w:val="22"/>
        </w:rPr>
        <w:t>that will be included in the toolkit.</w:t>
      </w:r>
    </w:p>
    <w:p w14:paraId="7A362919" w14:textId="77777777" w:rsidR="00143128" w:rsidRPr="00143128" w:rsidRDefault="00143128" w:rsidP="00143128">
      <w:pPr>
        <w:rPr>
          <w:sz w:val="16"/>
          <w:szCs w:val="16"/>
          <w:lang w:eastAsia="ja-JP"/>
        </w:rPr>
      </w:pPr>
    </w:p>
    <w:p w14:paraId="5D3DD0A7" w14:textId="77777777" w:rsidR="00605080" w:rsidRDefault="00605080" w:rsidP="00605080">
      <w:pPr>
        <w:rPr>
          <w:sz w:val="22"/>
          <w:szCs w:val="22"/>
        </w:rPr>
      </w:pPr>
      <w:r w:rsidRPr="007D7EDF">
        <w:rPr>
          <w:sz w:val="22"/>
          <w:szCs w:val="22"/>
        </w:rPr>
        <w:t xml:space="preserve">The user needs analysis </w:t>
      </w:r>
      <w:r>
        <w:rPr>
          <w:sz w:val="22"/>
          <w:szCs w:val="22"/>
        </w:rPr>
        <w:t xml:space="preserve">was developed to determine the primary users of HIA/Impact Assessment </w:t>
      </w:r>
      <w:r w:rsidRPr="007D7EDF">
        <w:rPr>
          <w:sz w:val="22"/>
          <w:szCs w:val="22"/>
        </w:rPr>
        <w:t>Tool</w:t>
      </w:r>
      <w:r>
        <w:rPr>
          <w:sz w:val="22"/>
          <w:szCs w:val="22"/>
        </w:rPr>
        <w:t xml:space="preserve"> and how they would use the tool in their decision-making process. The analysis focused on input from </w:t>
      </w:r>
      <w:r>
        <w:rPr>
          <w:sz w:val="22"/>
          <w:szCs w:val="22"/>
        </w:rPr>
        <w:lastRenderedPageBreak/>
        <w:t xml:space="preserve">stakeholders identified in the local and regional programs summarized in the proceeding section, meetings and informal interactions with individual stakeholders or their representative organizations, and HIA project participants. This process provided a good overview of user categories and their needs; the types of information used in decision making; and gaps in data availability, access to technology, funding, and public support. </w:t>
      </w:r>
    </w:p>
    <w:p w14:paraId="0AD38F02" w14:textId="77777777" w:rsidR="00143128" w:rsidRPr="00143128" w:rsidRDefault="00143128" w:rsidP="00143128">
      <w:pPr>
        <w:rPr>
          <w:sz w:val="16"/>
          <w:szCs w:val="16"/>
          <w:lang w:eastAsia="ja-JP"/>
        </w:rPr>
      </w:pPr>
    </w:p>
    <w:p w14:paraId="21E71E1F" w14:textId="1E466318" w:rsidR="00605080" w:rsidRPr="007D7EDF" w:rsidRDefault="00605080" w:rsidP="00605080">
      <w:pPr>
        <w:rPr>
          <w:sz w:val="22"/>
          <w:szCs w:val="22"/>
        </w:rPr>
      </w:pPr>
      <w:r>
        <w:rPr>
          <w:sz w:val="22"/>
          <w:szCs w:val="22"/>
        </w:rPr>
        <w:t xml:space="preserve">In addition, a survey questionnaire was developed and administered to community planners, leaders, and other HIA-related program participants to characterize the potential user community in the Capital Region. </w:t>
      </w:r>
      <w:r w:rsidR="005B4A73">
        <w:rPr>
          <w:sz w:val="22"/>
          <w:szCs w:val="22"/>
        </w:rPr>
        <w:t>A summary of the results of the</w:t>
      </w:r>
      <w:r>
        <w:rPr>
          <w:sz w:val="22"/>
          <w:szCs w:val="22"/>
        </w:rPr>
        <w:t xml:space="preserve"> survey instrument is provided in Appendix A.</w:t>
      </w:r>
    </w:p>
    <w:p w14:paraId="33266144" w14:textId="77777777" w:rsidR="00611B3B" w:rsidRDefault="00611B3B" w:rsidP="008210D0">
      <w:pPr>
        <w:rPr>
          <w:b/>
          <w:lang w:eastAsia="ja-JP"/>
        </w:rPr>
      </w:pPr>
    </w:p>
    <w:p w14:paraId="3AD25D4C" w14:textId="4D579F56" w:rsidR="008210D0" w:rsidRPr="007803BB" w:rsidRDefault="008210D0" w:rsidP="008210D0">
      <w:pPr>
        <w:rPr>
          <w:b/>
          <w:lang w:eastAsia="ja-JP"/>
        </w:rPr>
      </w:pPr>
      <w:r w:rsidRPr="007803BB">
        <w:rPr>
          <w:b/>
          <w:lang w:eastAsia="ja-JP"/>
        </w:rPr>
        <w:t>Background</w:t>
      </w:r>
      <w:r w:rsidR="007803BB">
        <w:rPr>
          <w:b/>
          <w:lang w:eastAsia="ja-JP"/>
        </w:rPr>
        <w:t>:</w:t>
      </w:r>
      <w:r w:rsidR="004048FA" w:rsidRPr="007803BB">
        <w:rPr>
          <w:b/>
          <w:lang w:eastAsia="ja-JP"/>
        </w:rPr>
        <w:t xml:space="preserve"> Need for a</w:t>
      </w:r>
      <w:r w:rsidR="008403CA" w:rsidRPr="007803BB">
        <w:rPr>
          <w:b/>
          <w:lang w:eastAsia="ja-JP"/>
        </w:rPr>
        <w:t xml:space="preserve"> </w:t>
      </w:r>
      <w:r w:rsidR="004048FA" w:rsidRPr="007803BB">
        <w:rPr>
          <w:b/>
          <w:lang w:eastAsia="ja-JP"/>
        </w:rPr>
        <w:t xml:space="preserve">Regional </w:t>
      </w:r>
      <w:r w:rsidR="008403CA" w:rsidRPr="007803BB">
        <w:rPr>
          <w:b/>
          <w:lang w:eastAsia="ja-JP"/>
        </w:rPr>
        <w:t>Impact Assessment Tool</w:t>
      </w:r>
      <w:r w:rsidR="001E328C" w:rsidRPr="007803BB">
        <w:rPr>
          <w:b/>
          <w:lang w:eastAsia="ja-JP"/>
        </w:rPr>
        <w:t>kit and Information Resource</w:t>
      </w:r>
    </w:p>
    <w:p w14:paraId="7121FAFE" w14:textId="77777777" w:rsidR="00143128" w:rsidRPr="00143128" w:rsidRDefault="00143128" w:rsidP="00143128">
      <w:pPr>
        <w:rPr>
          <w:sz w:val="16"/>
          <w:szCs w:val="16"/>
          <w:lang w:eastAsia="ja-JP"/>
        </w:rPr>
      </w:pPr>
    </w:p>
    <w:p w14:paraId="73A19E7A" w14:textId="17C5BFED" w:rsidR="001E328C" w:rsidRPr="007D7EDF" w:rsidRDefault="008210D0" w:rsidP="008210D0">
      <w:pPr>
        <w:rPr>
          <w:sz w:val="22"/>
          <w:szCs w:val="22"/>
          <w:lang w:eastAsia="ja-JP"/>
        </w:rPr>
      </w:pPr>
      <w:r w:rsidRPr="007D7EDF">
        <w:rPr>
          <w:sz w:val="22"/>
          <w:szCs w:val="22"/>
          <w:lang w:eastAsia="ja-JP"/>
        </w:rPr>
        <w:t>Th</w:t>
      </w:r>
      <w:r w:rsidR="00611B3B">
        <w:rPr>
          <w:sz w:val="22"/>
          <w:szCs w:val="22"/>
          <w:lang w:eastAsia="ja-JP"/>
        </w:rPr>
        <w:t xml:space="preserve">e objectives of the </w:t>
      </w:r>
      <w:r w:rsidR="001E1F33">
        <w:rPr>
          <w:sz w:val="22"/>
          <w:szCs w:val="22"/>
          <w:lang w:eastAsia="ja-JP"/>
        </w:rPr>
        <w:t>HIA Tool</w:t>
      </w:r>
      <w:r w:rsidR="00051D73">
        <w:rPr>
          <w:sz w:val="22"/>
          <w:szCs w:val="22"/>
          <w:lang w:eastAsia="ja-JP"/>
        </w:rPr>
        <w:t>kit</w:t>
      </w:r>
      <w:r w:rsidR="00611B3B">
        <w:rPr>
          <w:sz w:val="22"/>
          <w:szCs w:val="22"/>
          <w:lang w:eastAsia="ja-JP"/>
        </w:rPr>
        <w:t xml:space="preserve"> were established through </w:t>
      </w:r>
      <w:r w:rsidRPr="007D7EDF">
        <w:rPr>
          <w:sz w:val="22"/>
          <w:szCs w:val="22"/>
          <w:lang w:eastAsia="ja-JP"/>
        </w:rPr>
        <w:t>a focused regional effort to provide communities in the Capital Reg</w:t>
      </w:r>
      <w:r w:rsidR="001E328C" w:rsidRPr="007D7EDF">
        <w:rPr>
          <w:sz w:val="22"/>
          <w:szCs w:val="22"/>
          <w:lang w:eastAsia="ja-JP"/>
        </w:rPr>
        <w:t>ion with information and tool</w:t>
      </w:r>
      <w:r w:rsidRPr="007D7EDF">
        <w:rPr>
          <w:sz w:val="22"/>
          <w:szCs w:val="22"/>
          <w:lang w:eastAsia="ja-JP"/>
        </w:rPr>
        <w:t xml:space="preserve">s to make </w:t>
      </w:r>
      <w:r w:rsidR="001E328C" w:rsidRPr="007D7EDF">
        <w:rPr>
          <w:sz w:val="22"/>
          <w:szCs w:val="22"/>
          <w:lang w:eastAsia="ja-JP"/>
        </w:rPr>
        <w:t>informed</w:t>
      </w:r>
      <w:r w:rsidRPr="007D7EDF">
        <w:rPr>
          <w:sz w:val="22"/>
          <w:szCs w:val="22"/>
          <w:lang w:eastAsia="ja-JP"/>
        </w:rPr>
        <w:t xml:space="preserve"> decis</w:t>
      </w:r>
      <w:r w:rsidR="001E328C" w:rsidRPr="007D7EDF">
        <w:rPr>
          <w:sz w:val="22"/>
          <w:szCs w:val="22"/>
          <w:lang w:eastAsia="ja-JP"/>
        </w:rPr>
        <w:t>ions regarding land use</w:t>
      </w:r>
      <w:r w:rsidRPr="007D7EDF">
        <w:rPr>
          <w:sz w:val="22"/>
          <w:szCs w:val="22"/>
          <w:lang w:eastAsia="ja-JP"/>
        </w:rPr>
        <w:t>, create regional economic opportunities and competitiveness, build healthy and sustainable communities, and include multiple stakeholders – particularly underserved and disadvantaged populat</w:t>
      </w:r>
      <w:r w:rsidR="001E328C" w:rsidRPr="007D7EDF">
        <w:rPr>
          <w:sz w:val="22"/>
          <w:szCs w:val="22"/>
          <w:lang w:eastAsia="ja-JP"/>
        </w:rPr>
        <w:t xml:space="preserve">ions – in the decision process. </w:t>
      </w:r>
    </w:p>
    <w:p w14:paraId="3FA6D61D" w14:textId="77777777" w:rsidR="00143128" w:rsidRPr="00143128" w:rsidRDefault="00143128" w:rsidP="00143128">
      <w:pPr>
        <w:rPr>
          <w:sz w:val="16"/>
          <w:szCs w:val="16"/>
          <w:lang w:eastAsia="ja-JP"/>
        </w:rPr>
      </w:pPr>
    </w:p>
    <w:p w14:paraId="6953238A" w14:textId="38D5FCAD" w:rsidR="008210D0" w:rsidRDefault="001E328C" w:rsidP="008210D0">
      <w:pPr>
        <w:rPr>
          <w:sz w:val="22"/>
          <w:szCs w:val="22"/>
          <w:lang w:eastAsia="ja-JP"/>
        </w:rPr>
      </w:pPr>
      <w:r w:rsidRPr="007D7EDF">
        <w:rPr>
          <w:sz w:val="22"/>
          <w:szCs w:val="22"/>
          <w:lang w:eastAsia="ja-JP"/>
        </w:rPr>
        <w:t xml:space="preserve">For more than 10 years, </w:t>
      </w:r>
      <w:r w:rsidR="007D7EDF" w:rsidRPr="007D7EDF">
        <w:rPr>
          <w:sz w:val="22"/>
          <w:szCs w:val="22"/>
          <w:lang w:eastAsia="ja-JP"/>
        </w:rPr>
        <w:t>g</w:t>
      </w:r>
      <w:r w:rsidRPr="007D7EDF">
        <w:rPr>
          <w:sz w:val="22"/>
          <w:szCs w:val="22"/>
          <w:lang w:eastAsia="ja-JP"/>
        </w:rPr>
        <w:t xml:space="preserve">uidance </w:t>
      </w:r>
      <w:r w:rsidR="007803BB">
        <w:rPr>
          <w:sz w:val="22"/>
          <w:szCs w:val="22"/>
          <w:lang w:eastAsia="ja-JP"/>
        </w:rPr>
        <w:t xml:space="preserve">and technical support for this regional effort has been provided by the Land Use and Health Resource Team </w:t>
      </w:r>
      <w:r w:rsidR="007803BB" w:rsidRPr="007D7EDF">
        <w:rPr>
          <w:sz w:val="22"/>
          <w:szCs w:val="22"/>
          <w:lang w:eastAsia="ja-JP"/>
        </w:rPr>
        <w:t>(LUHRT), which is sponsored by the Ingham County Health Department and supported by the health departments of Clinton and Eaton Counties</w:t>
      </w:r>
      <w:r w:rsidR="007803BB">
        <w:rPr>
          <w:sz w:val="22"/>
          <w:szCs w:val="22"/>
          <w:lang w:eastAsia="ja-JP"/>
        </w:rPr>
        <w:t xml:space="preserve">. Regional partners include </w:t>
      </w:r>
      <w:r w:rsidR="007803BB" w:rsidRPr="007D7EDF">
        <w:rPr>
          <w:sz w:val="22"/>
          <w:szCs w:val="22"/>
          <w:lang w:eastAsia="ja-JP"/>
        </w:rPr>
        <w:t>the Tri-County Regional Planning Commission (TCRPC), Michigan State University, Capital Area Health Alliance, the Power of We Consortium, Capital Area Transit Authority, local jurisdictions, neighborhood associations, NGOs, and</w:t>
      </w:r>
      <w:r w:rsidR="007803BB">
        <w:rPr>
          <w:sz w:val="22"/>
          <w:szCs w:val="22"/>
          <w:lang w:eastAsia="ja-JP"/>
        </w:rPr>
        <w:t xml:space="preserve"> many other public and private </w:t>
      </w:r>
      <w:r w:rsidR="007803BB" w:rsidRPr="007D7EDF">
        <w:rPr>
          <w:sz w:val="22"/>
          <w:szCs w:val="22"/>
          <w:lang w:eastAsia="ja-JP"/>
        </w:rPr>
        <w:t>sector organizations</w:t>
      </w:r>
      <w:r w:rsidR="007803BB">
        <w:rPr>
          <w:sz w:val="22"/>
          <w:szCs w:val="22"/>
          <w:lang w:eastAsia="ja-JP"/>
        </w:rPr>
        <w:t xml:space="preserve">. </w:t>
      </w:r>
    </w:p>
    <w:p w14:paraId="7E70E97A" w14:textId="77777777" w:rsidR="00143128" w:rsidRPr="00143128" w:rsidRDefault="00143128" w:rsidP="00143128">
      <w:pPr>
        <w:rPr>
          <w:sz w:val="16"/>
          <w:szCs w:val="16"/>
          <w:lang w:eastAsia="ja-JP"/>
        </w:rPr>
      </w:pPr>
    </w:p>
    <w:p w14:paraId="5A50C8DB" w14:textId="765A4A50" w:rsidR="007803BB" w:rsidRPr="00611B3B" w:rsidRDefault="0018725D" w:rsidP="008210D0">
      <w:pPr>
        <w:rPr>
          <w:sz w:val="22"/>
          <w:szCs w:val="22"/>
          <w:lang w:eastAsia="ja-JP"/>
        </w:rPr>
      </w:pPr>
      <w:r>
        <w:rPr>
          <w:sz w:val="22"/>
          <w:szCs w:val="22"/>
          <w:lang w:eastAsia="ja-JP"/>
        </w:rPr>
        <w:t xml:space="preserve">Input on the content, capabilities, functions, and user interface of the HIA Tool was gleaned from extensive communications with representatives of the regional partners. </w:t>
      </w:r>
      <w:r w:rsidR="00431ABE">
        <w:rPr>
          <w:sz w:val="22"/>
          <w:szCs w:val="22"/>
          <w:lang w:eastAsia="ja-JP"/>
        </w:rPr>
        <w:t>The partner organizations offered several g</w:t>
      </w:r>
      <w:r>
        <w:rPr>
          <w:sz w:val="22"/>
          <w:szCs w:val="22"/>
          <w:lang w:eastAsia="ja-JP"/>
        </w:rPr>
        <w:t>eneral requirements of the on-line tool and information system</w:t>
      </w:r>
      <w:r w:rsidR="00431ABE">
        <w:rPr>
          <w:sz w:val="22"/>
          <w:szCs w:val="22"/>
          <w:lang w:eastAsia="ja-JP"/>
        </w:rPr>
        <w:t>, such that the HIA Tool would:</w:t>
      </w:r>
      <w:r>
        <w:rPr>
          <w:sz w:val="22"/>
          <w:szCs w:val="22"/>
          <w:lang w:eastAsia="ja-JP"/>
        </w:rPr>
        <w:t xml:space="preserve"> </w:t>
      </w:r>
    </w:p>
    <w:p w14:paraId="4FFF0B32" w14:textId="2D6CF93A" w:rsidR="008403CA" w:rsidRDefault="00431ABE" w:rsidP="00431ABE">
      <w:pPr>
        <w:pStyle w:val="ListParagraph"/>
        <w:numPr>
          <w:ilvl w:val="0"/>
          <w:numId w:val="9"/>
        </w:numPr>
        <w:rPr>
          <w:sz w:val="22"/>
          <w:szCs w:val="22"/>
          <w:lang w:eastAsia="ja-JP"/>
        </w:rPr>
      </w:pPr>
      <w:r>
        <w:rPr>
          <w:sz w:val="22"/>
          <w:szCs w:val="22"/>
          <w:lang w:eastAsia="ja-JP"/>
        </w:rPr>
        <w:t>S</w:t>
      </w:r>
      <w:r w:rsidRPr="00431ABE">
        <w:rPr>
          <w:sz w:val="22"/>
          <w:szCs w:val="22"/>
          <w:lang w:eastAsia="ja-JP"/>
        </w:rPr>
        <w:t xml:space="preserve">upport the </w:t>
      </w:r>
      <w:r w:rsidRPr="00431ABE">
        <w:rPr>
          <w:sz w:val="22"/>
          <w:szCs w:val="22"/>
          <w:u w:val="single"/>
          <w:lang w:eastAsia="ja-JP"/>
        </w:rPr>
        <w:t>TCRPC Regional Growth Plan</w:t>
      </w:r>
      <w:r w:rsidR="008403CA" w:rsidRPr="00431ABE">
        <w:rPr>
          <w:sz w:val="22"/>
          <w:szCs w:val="22"/>
          <w:lang w:eastAsia="ja-JP"/>
        </w:rPr>
        <w:t xml:space="preserve"> </w:t>
      </w:r>
      <w:r w:rsidRPr="00431ABE">
        <w:rPr>
          <w:sz w:val="22"/>
          <w:szCs w:val="22"/>
          <w:lang w:eastAsia="ja-JP"/>
        </w:rPr>
        <w:t>by helping communities prioritize land-use</w:t>
      </w:r>
      <w:r w:rsidR="008403CA" w:rsidRPr="00431ABE">
        <w:rPr>
          <w:sz w:val="22"/>
          <w:szCs w:val="22"/>
          <w:lang w:eastAsia="ja-JP"/>
        </w:rPr>
        <w:t xml:space="preserve"> issues and </w:t>
      </w:r>
      <w:r w:rsidRPr="00431ABE">
        <w:rPr>
          <w:sz w:val="22"/>
          <w:szCs w:val="22"/>
          <w:lang w:eastAsia="ja-JP"/>
        </w:rPr>
        <w:t xml:space="preserve">meet </w:t>
      </w:r>
      <w:r w:rsidR="008403CA" w:rsidRPr="00431ABE">
        <w:rPr>
          <w:sz w:val="22"/>
          <w:szCs w:val="22"/>
          <w:lang w:eastAsia="ja-JP"/>
        </w:rPr>
        <w:t xml:space="preserve">information needs. </w:t>
      </w:r>
    </w:p>
    <w:p w14:paraId="0C8817F3" w14:textId="77777777" w:rsidR="00864F08" w:rsidRPr="00864F08" w:rsidRDefault="00864F08" w:rsidP="00864F08">
      <w:pPr>
        <w:pStyle w:val="ListParagraph"/>
        <w:rPr>
          <w:sz w:val="8"/>
          <w:szCs w:val="8"/>
          <w:lang w:eastAsia="ja-JP"/>
        </w:rPr>
      </w:pPr>
    </w:p>
    <w:p w14:paraId="3645D086" w14:textId="1590FF76" w:rsidR="00431ABE" w:rsidRDefault="00431ABE" w:rsidP="00431ABE">
      <w:pPr>
        <w:pStyle w:val="ListParagraph"/>
        <w:numPr>
          <w:ilvl w:val="0"/>
          <w:numId w:val="9"/>
        </w:numPr>
        <w:rPr>
          <w:sz w:val="22"/>
          <w:szCs w:val="22"/>
          <w:lang w:eastAsia="ja-JP"/>
        </w:rPr>
      </w:pPr>
      <w:r>
        <w:rPr>
          <w:sz w:val="22"/>
          <w:szCs w:val="22"/>
          <w:lang w:eastAsia="ja-JP"/>
        </w:rPr>
        <w:t>S</w:t>
      </w:r>
      <w:r w:rsidRPr="00431ABE">
        <w:rPr>
          <w:sz w:val="22"/>
          <w:szCs w:val="22"/>
          <w:lang w:eastAsia="ja-JP"/>
        </w:rPr>
        <w:t>upport</w:t>
      </w:r>
      <w:r>
        <w:rPr>
          <w:sz w:val="22"/>
          <w:szCs w:val="22"/>
          <w:lang w:eastAsia="ja-JP"/>
        </w:rPr>
        <w:t xml:space="preserve"> local efforts to incorporate HIA in land-use decision making, ranging from policies and programs to individual projects.</w:t>
      </w:r>
      <w:r w:rsidR="00372B70">
        <w:rPr>
          <w:sz w:val="22"/>
          <w:szCs w:val="22"/>
          <w:lang w:eastAsia="ja-JP"/>
        </w:rPr>
        <w:t xml:space="preserve"> The prototype HIA Tool will use as templates the</w:t>
      </w:r>
      <w:r w:rsidR="00372B70" w:rsidRPr="007D7EDF">
        <w:rPr>
          <w:sz w:val="22"/>
          <w:szCs w:val="22"/>
          <w:lang w:eastAsia="ja-JP"/>
        </w:rPr>
        <w:t xml:space="preserve"> Fair and Affordable Housing Plan (FAHP) and the Urban and Rural Services Management Policy (URSM), which is being coordinated with two projects funded under the Mid-Michigan Program for Greater Sustainability administered by the Tri-County Regional Planning Commission.</w:t>
      </w:r>
    </w:p>
    <w:p w14:paraId="284365E3" w14:textId="77777777" w:rsidR="00605080" w:rsidRPr="00605080" w:rsidRDefault="00605080" w:rsidP="00605080">
      <w:pPr>
        <w:pStyle w:val="ListParagraph"/>
        <w:rPr>
          <w:sz w:val="8"/>
          <w:szCs w:val="8"/>
          <w:lang w:eastAsia="ja-JP"/>
        </w:rPr>
      </w:pPr>
    </w:p>
    <w:p w14:paraId="1B2A4876" w14:textId="44F29B2A" w:rsidR="00431ABE" w:rsidRDefault="00431ABE" w:rsidP="00431ABE">
      <w:pPr>
        <w:pStyle w:val="ListParagraph"/>
        <w:numPr>
          <w:ilvl w:val="0"/>
          <w:numId w:val="9"/>
        </w:numPr>
        <w:rPr>
          <w:sz w:val="22"/>
          <w:szCs w:val="22"/>
          <w:lang w:eastAsia="ja-JP"/>
        </w:rPr>
      </w:pPr>
      <w:r>
        <w:rPr>
          <w:sz w:val="22"/>
          <w:szCs w:val="22"/>
          <w:lang w:eastAsia="ja-JP"/>
        </w:rPr>
        <w:t xml:space="preserve">Use </w:t>
      </w:r>
      <w:r w:rsidRPr="007D7EDF">
        <w:rPr>
          <w:sz w:val="22"/>
          <w:szCs w:val="22"/>
          <w:lang w:eastAsia="ja-JP"/>
        </w:rPr>
        <w:t>National Association of City and County Health Officials (NACCHO) recommendations for healthy communities to support local the master plans and zoning ordinances of local governments</w:t>
      </w:r>
      <w:r>
        <w:rPr>
          <w:sz w:val="22"/>
          <w:szCs w:val="22"/>
          <w:lang w:eastAsia="ja-JP"/>
        </w:rPr>
        <w:t xml:space="preserve"> by incorporating the HIA Checklist adopted by Meridian Township and in use since 2005.</w:t>
      </w:r>
    </w:p>
    <w:p w14:paraId="40A42EE7" w14:textId="77777777" w:rsidR="00605080" w:rsidRPr="00605080" w:rsidRDefault="00605080" w:rsidP="00605080">
      <w:pPr>
        <w:pStyle w:val="ListParagraph"/>
        <w:rPr>
          <w:sz w:val="8"/>
          <w:szCs w:val="8"/>
          <w:lang w:eastAsia="ja-JP"/>
        </w:rPr>
      </w:pPr>
    </w:p>
    <w:p w14:paraId="04D5553C" w14:textId="476CA118" w:rsidR="00431ABE" w:rsidRDefault="00372B70" w:rsidP="00431ABE">
      <w:pPr>
        <w:pStyle w:val="ListParagraph"/>
        <w:numPr>
          <w:ilvl w:val="0"/>
          <w:numId w:val="9"/>
        </w:numPr>
        <w:rPr>
          <w:sz w:val="22"/>
          <w:szCs w:val="22"/>
          <w:lang w:eastAsia="ja-JP"/>
        </w:rPr>
      </w:pPr>
      <w:r>
        <w:rPr>
          <w:sz w:val="22"/>
          <w:szCs w:val="22"/>
          <w:lang w:eastAsia="ja-JP"/>
        </w:rPr>
        <w:t xml:space="preserve">Evaluate </w:t>
      </w:r>
      <w:r w:rsidRPr="007D7EDF">
        <w:rPr>
          <w:sz w:val="22"/>
          <w:szCs w:val="22"/>
          <w:lang w:eastAsia="ja-JP"/>
        </w:rPr>
        <w:t>developments from the standpoint of water and air quality, wastewater treatment, solid and hazardous waste management, social capital, physical activity, health equity, public transportation, and food accessibility.</w:t>
      </w:r>
    </w:p>
    <w:p w14:paraId="05328D59" w14:textId="77777777" w:rsidR="00605080" w:rsidRPr="00605080" w:rsidRDefault="00605080" w:rsidP="00605080">
      <w:pPr>
        <w:pStyle w:val="ListParagraph"/>
        <w:rPr>
          <w:sz w:val="8"/>
          <w:szCs w:val="8"/>
          <w:lang w:eastAsia="ja-JP"/>
        </w:rPr>
      </w:pPr>
    </w:p>
    <w:p w14:paraId="48A1E1F0" w14:textId="0D544811" w:rsidR="00372B70" w:rsidRDefault="001E79C9" w:rsidP="00431ABE">
      <w:pPr>
        <w:pStyle w:val="ListParagraph"/>
        <w:numPr>
          <w:ilvl w:val="0"/>
          <w:numId w:val="9"/>
        </w:numPr>
        <w:rPr>
          <w:sz w:val="22"/>
          <w:szCs w:val="22"/>
          <w:lang w:eastAsia="ja-JP"/>
        </w:rPr>
      </w:pPr>
      <w:r>
        <w:rPr>
          <w:sz w:val="22"/>
          <w:szCs w:val="22"/>
          <w:lang w:eastAsia="ja-JP"/>
        </w:rPr>
        <w:t>Use</w:t>
      </w:r>
      <w:r w:rsidR="00372B70">
        <w:rPr>
          <w:sz w:val="22"/>
          <w:szCs w:val="22"/>
          <w:lang w:eastAsia="ja-JP"/>
        </w:rPr>
        <w:t xml:space="preserve"> </w:t>
      </w:r>
      <w:r>
        <w:rPr>
          <w:sz w:val="22"/>
          <w:szCs w:val="22"/>
          <w:lang w:eastAsia="ja-JP"/>
        </w:rPr>
        <w:t xml:space="preserve">a </w:t>
      </w:r>
      <w:r w:rsidRPr="007D7EDF">
        <w:rPr>
          <w:sz w:val="22"/>
          <w:szCs w:val="22"/>
          <w:lang w:eastAsia="ja-JP"/>
        </w:rPr>
        <w:t>GIS Data Development Matrix</w:t>
      </w:r>
      <w:r w:rsidR="005B4A73">
        <w:rPr>
          <w:sz w:val="22"/>
          <w:szCs w:val="22"/>
          <w:lang w:eastAsia="ja-JP"/>
        </w:rPr>
        <w:t xml:space="preserve"> (Appendix B)</w:t>
      </w:r>
      <w:r w:rsidRPr="007D7EDF">
        <w:rPr>
          <w:sz w:val="22"/>
          <w:szCs w:val="22"/>
          <w:lang w:eastAsia="ja-JP"/>
        </w:rPr>
        <w:t xml:space="preserve"> </w:t>
      </w:r>
      <w:r>
        <w:rPr>
          <w:sz w:val="22"/>
          <w:szCs w:val="22"/>
          <w:lang w:eastAsia="ja-JP"/>
        </w:rPr>
        <w:t xml:space="preserve">that will provide </w:t>
      </w:r>
      <w:r w:rsidR="00372B70" w:rsidRPr="007D7EDF">
        <w:rPr>
          <w:sz w:val="22"/>
          <w:szCs w:val="22"/>
          <w:lang w:eastAsia="ja-JP"/>
        </w:rPr>
        <w:t xml:space="preserve">guidelines </w:t>
      </w:r>
      <w:r w:rsidR="00372B70">
        <w:rPr>
          <w:sz w:val="22"/>
          <w:szCs w:val="22"/>
          <w:lang w:eastAsia="ja-JP"/>
        </w:rPr>
        <w:t>to local planners and decision makers to better understand</w:t>
      </w:r>
      <w:r w:rsidR="00372B70" w:rsidRPr="007D7EDF">
        <w:rPr>
          <w:sz w:val="22"/>
          <w:szCs w:val="22"/>
          <w:lang w:eastAsia="ja-JP"/>
        </w:rPr>
        <w:t xml:space="preserve"> (a) potential impacts and other planning considerations e.g., a question a user might ask about a project); (b) data attributes (e.g., what must be measured in order to assess an impact); (c) data requirements, type, source, availability, and quality/accuracy; and (d) critical threshold or alert in the event the resulting information and analysis suggests a significant impact.</w:t>
      </w:r>
    </w:p>
    <w:p w14:paraId="7F654D98" w14:textId="77777777" w:rsidR="00605080" w:rsidRPr="00605080" w:rsidRDefault="00605080" w:rsidP="00605080">
      <w:pPr>
        <w:pStyle w:val="ListParagraph"/>
        <w:rPr>
          <w:sz w:val="8"/>
          <w:szCs w:val="8"/>
          <w:lang w:eastAsia="ja-JP"/>
        </w:rPr>
      </w:pPr>
    </w:p>
    <w:p w14:paraId="08A68066" w14:textId="216834E8" w:rsidR="00372B70" w:rsidRDefault="00826CC8" w:rsidP="00431ABE">
      <w:pPr>
        <w:pStyle w:val="ListParagraph"/>
        <w:numPr>
          <w:ilvl w:val="0"/>
          <w:numId w:val="9"/>
        </w:numPr>
        <w:rPr>
          <w:sz w:val="22"/>
          <w:szCs w:val="22"/>
          <w:lang w:eastAsia="ja-JP"/>
        </w:rPr>
      </w:pPr>
      <w:r>
        <w:rPr>
          <w:sz w:val="22"/>
          <w:szCs w:val="22"/>
          <w:lang w:eastAsia="ja-JP"/>
        </w:rPr>
        <w:t xml:space="preserve">Create access to environmental health information </w:t>
      </w:r>
      <w:r w:rsidR="0031777B">
        <w:rPr>
          <w:sz w:val="22"/>
          <w:szCs w:val="22"/>
          <w:lang w:eastAsia="ja-JP"/>
        </w:rPr>
        <w:t>for</w:t>
      </w:r>
      <w:r>
        <w:rPr>
          <w:sz w:val="22"/>
          <w:szCs w:val="22"/>
          <w:lang w:eastAsia="ja-JP"/>
        </w:rPr>
        <w:t xml:space="preserve"> </w:t>
      </w:r>
      <w:r w:rsidR="0031777B">
        <w:rPr>
          <w:sz w:val="22"/>
          <w:szCs w:val="22"/>
          <w:lang w:eastAsia="ja-JP"/>
        </w:rPr>
        <w:t xml:space="preserve">the health departments in </w:t>
      </w:r>
      <w:r>
        <w:rPr>
          <w:sz w:val="22"/>
          <w:szCs w:val="22"/>
          <w:lang w:eastAsia="ja-JP"/>
        </w:rPr>
        <w:t xml:space="preserve">Clinton and Eaton counties similar to that provided by the </w:t>
      </w:r>
      <w:r w:rsidRPr="007D7EDF">
        <w:rPr>
          <w:sz w:val="22"/>
          <w:szCs w:val="22"/>
          <w:u w:val="single"/>
          <w:lang w:eastAsia="ja-JP"/>
        </w:rPr>
        <w:t>ICHD Environmental Health Mapper.</w:t>
      </w:r>
    </w:p>
    <w:p w14:paraId="2CCEB004" w14:textId="77777777" w:rsidR="00C4615C" w:rsidRPr="007D7EDF" w:rsidRDefault="00C4615C" w:rsidP="00C4615C">
      <w:pPr>
        <w:rPr>
          <w:sz w:val="22"/>
          <w:szCs w:val="22"/>
        </w:rPr>
      </w:pPr>
    </w:p>
    <w:p w14:paraId="02AB9558" w14:textId="24EE9EE0" w:rsidR="00C94B10" w:rsidRPr="00605080" w:rsidRDefault="00C94B10" w:rsidP="00941699">
      <w:pPr>
        <w:rPr>
          <w:b/>
        </w:rPr>
      </w:pPr>
      <w:r w:rsidRPr="00605080">
        <w:rPr>
          <w:b/>
        </w:rPr>
        <w:t>Primary Use</w:t>
      </w:r>
      <w:r w:rsidR="00605080" w:rsidRPr="00605080">
        <w:rPr>
          <w:b/>
        </w:rPr>
        <w:t>r</w:t>
      </w:r>
      <w:r w:rsidRPr="00605080">
        <w:rPr>
          <w:b/>
        </w:rPr>
        <w:t xml:space="preserve"> Community</w:t>
      </w:r>
    </w:p>
    <w:p w14:paraId="4CB9F072" w14:textId="77777777" w:rsidR="00143128" w:rsidRPr="00143128" w:rsidRDefault="00143128" w:rsidP="00143128">
      <w:pPr>
        <w:rPr>
          <w:sz w:val="16"/>
          <w:szCs w:val="16"/>
          <w:lang w:eastAsia="ja-JP"/>
        </w:rPr>
      </w:pPr>
    </w:p>
    <w:p w14:paraId="026B0753" w14:textId="0B8CF58A" w:rsidR="004048FA" w:rsidRPr="007D7EDF" w:rsidRDefault="004048FA" w:rsidP="00941699">
      <w:pPr>
        <w:rPr>
          <w:sz w:val="22"/>
          <w:szCs w:val="22"/>
        </w:rPr>
      </w:pPr>
      <w:r w:rsidRPr="007D7EDF">
        <w:rPr>
          <w:sz w:val="22"/>
          <w:szCs w:val="22"/>
        </w:rPr>
        <w:t xml:space="preserve">Michigan is a “home-rule” state. Virtually all land-use decisions </w:t>
      </w:r>
      <w:r w:rsidR="00812678" w:rsidRPr="007D7EDF">
        <w:rPr>
          <w:sz w:val="22"/>
          <w:szCs w:val="22"/>
        </w:rPr>
        <w:t xml:space="preserve">that could affect community and human health and the environment </w:t>
      </w:r>
      <w:r w:rsidRPr="007D7EDF">
        <w:rPr>
          <w:sz w:val="22"/>
          <w:szCs w:val="22"/>
        </w:rPr>
        <w:t>are made at the local level</w:t>
      </w:r>
      <w:r w:rsidR="00812678" w:rsidRPr="007D7EDF">
        <w:rPr>
          <w:sz w:val="22"/>
          <w:szCs w:val="22"/>
        </w:rPr>
        <w:t>. In the three counties within t</w:t>
      </w:r>
      <w:r w:rsidR="002070D8" w:rsidRPr="007D7EDF">
        <w:rPr>
          <w:sz w:val="22"/>
          <w:szCs w:val="22"/>
        </w:rPr>
        <w:t xml:space="preserve">he Capital Region, there are </w:t>
      </w:r>
      <w:r w:rsidR="00812678" w:rsidRPr="007D7EDF">
        <w:rPr>
          <w:sz w:val="22"/>
          <w:szCs w:val="22"/>
        </w:rPr>
        <w:t xml:space="preserve">108 townships and charter townships, six small-to-medium-sized municipalities (East Lansing, DeWitt, St. Johns, Grand Ledge, Charlotte, Holt, and Mason), </w:t>
      </w:r>
      <w:r w:rsidR="002070D8" w:rsidRPr="007D7EDF">
        <w:rPr>
          <w:sz w:val="22"/>
          <w:szCs w:val="22"/>
        </w:rPr>
        <w:t xml:space="preserve">seven medium-to-large charter townships (Meridian, DeWitt, Watertown, Bath, Delta, Delhi, and Vevay), </w:t>
      </w:r>
      <w:r w:rsidR="00812678" w:rsidRPr="007D7EDF">
        <w:rPr>
          <w:sz w:val="22"/>
          <w:szCs w:val="22"/>
        </w:rPr>
        <w:t>20 villages, and the City of Lansing. Seventy-eight of these units of government have primary planning</w:t>
      </w:r>
      <w:r w:rsidR="002070D8" w:rsidRPr="007D7EDF">
        <w:rPr>
          <w:sz w:val="22"/>
          <w:szCs w:val="22"/>
        </w:rPr>
        <w:t>, zoning,</w:t>
      </w:r>
      <w:r w:rsidR="00812678" w:rsidRPr="007D7EDF">
        <w:rPr>
          <w:sz w:val="22"/>
          <w:szCs w:val="22"/>
        </w:rPr>
        <w:t xml:space="preserve"> and decision-making authority.</w:t>
      </w:r>
    </w:p>
    <w:p w14:paraId="144A1A76" w14:textId="77777777" w:rsidR="00143128" w:rsidRPr="00143128" w:rsidRDefault="00143128" w:rsidP="00143128">
      <w:pPr>
        <w:rPr>
          <w:sz w:val="16"/>
          <w:szCs w:val="16"/>
          <w:lang w:eastAsia="ja-JP"/>
        </w:rPr>
      </w:pPr>
    </w:p>
    <w:p w14:paraId="2A768719" w14:textId="5FEB8C50" w:rsidR="00A46784" w:rsidRPr="007D7EDF" w:rsidRDefault="00A46784" w:rsidP="00941699">
      <w:pPr>
        <w:rPr>
          <w:sz w:val="22"/>
          <w:szCs w:val="22"/>
        </w:rPr>
      </w:pPr>
      <w:r w:rsidRPr="007D7EDF">
        <w:rPr>
          <w:sz w:val="22"/>
          <w:szCs w:val="22"/>
        </w:rPr>
        <w:t xml:space="preserve">Based on discussions with representatives of local governmental units who have long been affiliated with LUHRT-related projects, </w:t>
      </w:r>
      <w:r w:rsidR="00441626">
        <w:rPr>
          <w:sz w:val="22"/>
          <w:szCs w:val="22"/>
        </w:rPr>
        <w:t xml:space="preserve">it was determined that </w:t>
      </w:r>
      <w:r w:rsidRPr="007D7EDF">
        <w:rPr>
          <w:sz w:val="22"/>
          <w:szCs w:val="22"/>
        </w:rPr>
        <w:t>the principal users of the Impact Toolkit w</w:t>
      </w:r>
      <w:r w:rsidR="00441626">
        <w:rPr>
          <w:sz w:val="22"/>
          <w:szCs w:val="22"/>
        </w:rPr>
        <w:t>ould most likely</w:t>
      </w:r>
      <w:r w:rsidRPr="007D7EDF">
        <w:rPr>
          <w:sz w:val="22"/>
          <w:szCs w:val="22"/>
        </w:rPr>
        <w:t xml:space="preserve"> include </w:t>
      </w:r>
      <w:r w:rsidR="00441626">
        <w:rPr>
          <w:sz w:val="22"/>
          <w:szCs w:val="22"/>
        </w:rPr>
        <w:t xml:space="preserve">administrators, </w:t>
      </w:r>
      <w:r w:rsidRPr="007D7EDF">
        <w:rPr>
          <w:sz w:val="22"/>
          <w:szCs w:val="22"/>
        </w:rPr>
        <w:t>planners</w:t>
      </w:r>
      <w:r w:rsidR="00441626">
        <w:rPr>
          <w:sz w:val="22"/>
          <w:szCs w:val="22"/>
        </w:rPr>
        <w:t xml:space="preserve">, and engineers </w:t>
      </w:r>
      <w:r w:rsidRPr="007D7EDF">
        <w:rPr>
          <w:sz w:val="22"/>
          <w:szCs w:val="22"/>
        </w:rPr>
        <w:t xml:space="preserve">employed by local </w:t>
      </w:r>
      <w:r w:rsidR="00441626">
        <w:rPr>
          <w:sz w:val="22"/>
          <w:szCs w:val="22"/>
        </w:rPr>
        <w:t xml:space="preserve">and county </w:t>
      </w:r>
      <w:r w:rsidRPr="007D7EDF">
        <w:rPr>
          <w:sz w:val="22"/>
          <w:szCs w:val="22"/>
        </w:rPr>
        <w:t>governments</w:t>
      </w:r>
      <w:r w:rsidR="00441626">
        <w:rPr>
          <w:sz w:val="22"/>
          <w:szCs w:val="22"/>
        </w:rPr>
        <w:t>;</w:t>
      </w:r>
      <w:r w:rsidRPr="007D7EDF">
        <w:rPr>
          <w:sz w:val="22"/>
          <w:szCs w:val="22"/>
        </w:rPr>
        <w:t xml:space="preserve"> </w:t>
      </w:r>
      <w:r w:rsidR="00441626">
        <w:rPr>
          <w:sz w:val="22"/>
          <w:szCs w:val="22"/>
        </w:rPr>
        <w:t xml:space="preserve">elected and appointed </w:t>
      </w:r>
      <w:r w:rsidRPr="007D7EDF">
        <w:rPr>
          <w:sz w:val="22"/>
          <w:szCs w:val="22"/>
        </w:rPr>
        <w:t>local and county officials</w:t>
      </w:r>
      <w:r w:rsidR="00441626">
        <w:rPr>
          <w:sz w:val="22"/>
          <w:szCs w:val="22"/>
        </w:rPr>
        <w:t>;</w:t>
      </w:r>
      <w:r w:rsidRPr="007D7EDF">
        <w:rPr>
          <w:sz w:val="22"/>
          <w:szCs w:val="22"/>
        </w:rPr>
        <w:t xml:space="preserve"> landowners and developers</w:t>
      </w:r>
      <w:r w:rsidR="00441626">
        <w:rPr>
          <w:sz w:val="22"/>
          <w:szCs w:val="22"/>
        </w:rPr>
        <w:t>;</w:t>
      </w:r>
      <w:r w:rsidRPr="007D7EDF">
        <w:rPr>
          <w:sz w:val="22"/>
          <w:szCs w:val="22"/>
        </w:rPr>
        <w:t xml:space="preserve"> and members of the public</w:t>
      </w:r>
      <w:r w:rsidR="00441626">
        <w:rPr>
          <w:sz w:val="22"/>
          <w:szCs w:val="22"/>
        </w:rPr>
        <w:t xml:space="preserve"> affected by land-use proposals</w:t>
      </w:r>
      <w:r w:rsidRPr="007D7EDF">
        <w:rPr>
          <w:sz w:val="22"/>
          <w:szCs w:val="22"/>
        </w:rPr>
        <w:t xml:space="preserve">. </w:t>
      </w:r>
      <w:r w:rsidR="002720B2">
        <w:rPr>
          <w:sz w:val="22"/>
          <w:szCs w:val="22"/>
        </w:rPr>
        <w:t>These assumptions appear to be supported in the s</w:t>
      </w:r>
      <w:r w:rsidR="00441626">
        <w:rPr>
          <w:sz w:val="22"/>
          <w:szCs w:val="22"/>
        </w:rPr>
        <w:t>urvey results</w:t>
      </w:r>
      <w:r w:rsidR="002720B2">
        <w:rPr>
          <w:sz w:val="22"/>
          <w:szCs w:val="22"/>
        </w:rPr>
        <w:t>. The survey</w:t>
      </w:r>
      <w:r w:rsidR="00441626">
        <w:rPr>
          <w:sz w:val="22"/>
          <w:szCs w:val="22"/>
        </w:rPr>
        <w:t xml:space="preserve"> indicated that more than </w:t>
      </w:r>
      <w:r w:rsidR="002720B2">
        <w:rPr>
          <w:sz w:val="22"/>
          <w:szCs w:val="22"/>
        </w:rPr>
        <w:t>48</w:t>
      </w:r>
      <w:r w:rsidR="00441626">
        <w:rPr>
          <w:sz w:val="22"/>
          <w:szCs w:val="22"/>
        </w:rPr>
        <w:t xml:space="preserve">% of respondents were affiliated with </w:t>
      </w:r>
      <w:r w:rsidR="002720B2">
        <w:rPr>
          <w:sz w:val="22"/>
          <w:szCs w:val="22"/>
        </w:rPr>
        <w:t xml:space="preserve">local, county, or state </w:t>
      </w:r>
      <w:r w:rsidR="00441626">
        <w:rPr>
          <w:sz w:val="22"/>
          <w:szCs w:val="22"/>
        </w:rPr>
        <w:t>government. Nearly 26% identified themselves as professional planners</w:t>
      </w:r>
      <w:r w:rsidR="002720B2">
        <w:rPr>
          <w:sz w:val="22"/>
          <w:szCs w:val="22"/>
        </w:rPr>
        <w:t>.</w:t>
      </w:r>
      <w:r w:rsidR="00441626">
        <w:rPr>
          <w:sz w:val="22"/>
          <w:szCs w:val="22"/>
        </w:rPr>
        <w:t xml:space="preserve"> </w:t>
      </w:r>
      <w:r w:rsidR="002720B2">
        <w:rPr>
          <w:sz w:val="22"/>
          <w:szCs w:val="22"/>
        </w:rPr>
        <w:t>Approximately 13% of respondents identified themselves as a member of a non-governmental organization, volunteer group, or special interest group and slightly more than 3% represented the private sector.</w:t>
      </w:r>
    </w:p>
    <w:p w14:paraId="55D79733" w14:textId="77777777" w:rsidR="00895E03" w:rsidRDefault="00895E03" w:rsidP="00895E03">
      <w:pPr>
        <w:rPr>
          <w:sz w:val="22"/>
          <w:szCs w:val="22"/>
        </w:rPr>
      </w:pPr>
    </w:p>
    <w:p w14:paraId="374BCDF3" w14:textId="5C3BF357" w:rsidR="008403CA" w:rsidRPr="00605080" w:rsidRDefault="00EE5A63" w:rsidP="00895E03">
      <w:pPr>
        <w:rPr>
          <w:b/>
        </w:rPr>
      </w:pPr>
      <w:r>
        <w:rPr>
          <w:b/>
        </w:rPr>
        <w:t>Analysis of User Requirements</w:t>
      </w:r>
    </w:p>
    <w:p w14:paraId="79E5DA8F" w14:textId="77777777" w:rsidR="00143128" w:rsidRPr="00143128" w:rsidRDefault="00143128" w:rsidP="00143128">
      <w:pPr>
        <w:rPr>
          <w:sz w:val="16"/>
          <w:szCs w:val="16"/>
          <w:lang w:eastAsia="ja-JP"/>
        </w:rPr>
      </w:pPr>
    </w:p>
    <w:p w14:paraId="4B7B0AA9" w14:textId="17D1EF0A" w:rsidR="00F80F7E" w:rsidRDefault="00F80F7E" w:rsidP="00F80F7E">
      <w:pPr>
        <w:rPr>
          <w:sz w:val="22"/>
          <w:szCs w:val="22"/>
        </w:rPr>
      </w:pPr>
      <w:r>
        <w:rPr>
          <w:sz w:val="22"/>
          <w:szCs w:val="22"/>
        </w:rPr>
        <w:t>All survey respondents indicated that their organizations had access to the Internet and more than 80% indicated that their organization maintained a website that provided public access to information that is used in the decision making process. In contrast, only about a third of the participants indicated that they had adequate access to the information they needed in making informed decisions. Reasons given for this disparity included limited access to or knowledge of data sources (26%), limited financial resources to obtain data (23%), or lack of expertise or training (36%).</w:t>
      </w:r>
    </w:p>
    <w:p w14:paraId="01FE9AE9" w14:textId="77777777" w:rsidR="00143128" w:rsidRPr="00143128" w:rsidRDefault="00143128" w:rsidP="00143128">
      <w:pPr>
        <w:rPr>
          <w:sz w:val="16"/>
          <w:szCs w:val="16"/>
          <w:lang w:eastAsia="ja-JP"/>
        </w:rPr>
      </w:pPr>
    </w:p>
    <w:p w14:paraId="1DD271C2" w14:textId="714F5AFF" w:rsidR="00895E03" w:rsidRPr="007D7EDF" w:rsidRDefault="00C94B10" w:rsidP="00895E03">
      <w:pPr>
        <w:rPr>
          <w:sz w:val="22"/>
          <w:szCs w:val="22"/>
          <w:u w:val="single"/>
        </w:rPr>
      </w:pPr>
      <w:r>
        <w:rPr>
          <w:sz w:val="22"/>
          <w:szCs w:val="22"/>
          <w:u w:val="single"/>
        </w:rPr>
        <w:t xml:space="preserve">Data </w:t>
      </w:r>
      <w:r w:rsidR="00216BCF">
        <w:rPr>
          <w:sz w:val="22"/>
          <w:szCs w:val="22"/>
          <w:u w:val="single"/>
        </w:rPr>
        <w:t>and Information Needs</w:t>
      </w:r>
    </w:p>
    <w:p w14:paraId="1F8992F8" w14:textId="77777777" w:rsidR="00143128" w:rsidRPr="00143128" w:rsidRDefault="00143128" w:rsidP="00143128">
      <w:pPr>
        <w:rPr>
          <w:sz w:val="16"/>
          <w:szCs w:val="16"/>
          <w:lang w:eastAsia="ja-JP"/>
        </w:rPr>
      </w:pPr>
    </w:p>
    <w:p w14:paraId="06C6637F" w14:textId="1EC81C07" w:rsidR="001E79C9" w:rsidRPr="007D7EDF" w:rsidRDefault="001E79C9" w:rsidP="001E79C9">
      <w:pPr>
        <w:rPr>
          <w:sz w:val="22"/>
          <w:szCs w:val="22"/>
          <w:lang w:eastAsia="ja-JP"/>
        </w:rPr>
      </w:pPr>
      <w:r>
        <w:rPr>
          <w:sz w:val="22"/>
          <w:szCs w:val="22"/>
        </w:rPr>
        <w:t xml:space="preserve">Responses from survey participants on data requirements by local communities are provided in Table 1. </w:t>
      </w:r>
      <w:r w:rsidRPr="007D7EDF">
        <w:rPr>
          <w:sz w:val="22"/>
          <w:szCs w:val="22"/>
          <w:lang w:eastAsia="ja-JP"/>
        </w:rPr>
        <w:t xml:space="preserve">Based on suggestions made by </w:t>
      </w:r>
      <w:r>
        <w:rPr>
          <w:sz w:val="22"/>
          <w:szCs w:val="22"/>
          <w:lang w:eastAsia="ja-JP"/>
        </w:rPr>
        <w:t>stakeholders</w:t>
      </w:r>
      <w:r w:rsidRPr="007D7EDF">
        <w:rPr>
          <w:sz w:val="22"/>
          <w:szCs w:val="22"/>
          <w:lang w:eastAsia="ja-JP"/>
        </w:rPr>
        <w:t>, the following data resources have been identified and integrated into a GIS Data Development Matrix (discussed above</w:t>
      </w:r>
      <w:r w:rsidR="005B4A73">
        <w:rPr>
          <w:sz w:val="22"/>
          <w:szCs w:val="22"/>
          <w:lang w:eastAsia="ja-JP"/>
        </w:rPr>
        <w:t xml:space="preserve"> and attached as Appendix B</w:t>
      </w:r>
      <w:r w:rsidRPr="007D7EDF">
        <w:rPr>
          <w:sz w:val="22"/>
          <w:szCs w:val="22"/>
          <w:lang w:eastAsia="ja-JP"/>
        </w:rPr>
        <w:t>)</w:t>
      </w:r>
      <w:r w:rsidRPr="007D7EDF">
        <w:rPr>
          <w:sz w:val="22"/>
          <w:szCs w:val="22"/>
        </w:rPr>
        <w:t>, which will serve as a data dictionary. The data dictionary tracks data type, sources, limitations, etc., and the required permissions from various agencies responsible for creating and maintaining data.</w:t>
      </w:r>
    </w:p>
    <w:p w14:paraId="03E3B337" w14:textId="23CE1EBB" w:rsidR="001E79C9" w:rsidRDefault="001E79C9" w:rsidP="001E79C9">
      <w:pPr>
        <w:pStyle w:val="ListParagraph"/>
        <w:numPr>
          <w:ilvl w:val="0"/>
          <w:numId w:val="8"/>
        </w:numPr>
        <w:rPr>
          <w:sz w:val="22"/>
          <w:szCs w:val="22"/>
        </w:rPr>
      </w:pPr>
      <w:r w:rsidRPr="007D7EDF">
        <w:rPr>
          <w:sz w:val="22"/>
          <w:szCs w:val="22"/>
        </w:rPr>
        <w:t>State and national scale geospatial datasets as available</w:t>
      </w:r>
      <w:r w:rsidR="00EE5A63">
        <w:rPr>
          <w:sz w:val="22"/>
          <w:szCs w:val="22"/>
        </w:rPr>
        <w:t>.</w:t>
      </w:r>
    </w:p>
    <w:p w14:paraId="7E0869C1" w14:textId="77777777" w:rsidR="00EE5A63" w:rsidRPr="00EE5A63" w:rsidRDefault="00EE5A63" w:rsidP="00EE5A63">
      <w:pPr>
        <w:rPr>
          <w:sz w:val="8"/>
          <w:szCs w:val="8"/>
        </w:rPr>
      </w:pPr>
    </w:p>
    <w:p w14:paraId="515F01AC" w14:textId="77777777" w:rsidR="001E79C9" w:rsidRPr="007D7EDF" w:rsidRDefault="001E79C9" w:rsidP="001E79C9">
      <w:pPr>
        <w:pStyle w:val="ListParagraph"/>
        <w:numPr>
          <w:ilvl w:val="0"/>
          <w:numId w:val="8"/>
        </w:numPr>
        <w:rPr>
          <w:sz w:val="22"/>
          <w:szCs w:val="22"/>
        </w:rPr>
      </w:pPr>
      <w:r w:rsidRPr="007D7EDF">
        <w:rPr>
          <w:sz w:val="22"/>
          <w:szCs w:val="22"/>
        </w:rPr>
        <w:t xml:space="preserve">County-level data per </w:t>
      </w:r>
      <w:r w:rsidRPr="007D7EDF">
        <w:rPr>
          <w:i/>
          <w:sz w:val="22"/>
          <w:szCs w:val="22"/>
        </w:rPr>
        <w:t>Environmental Health Mapper</w:t>
      </w:r>
      <w:r w:rsidRPr="007D7EDF">
        <w:rPr>
          <w:sz w:val="22"/>
          <w:szCs w:val="22"/>
        </w:rPr>
        <w:t>:</w:t>
      </w:r>
    </w:p>
    <w:p w14:paraId="44D00245" w14:textId="77777777" w:rsidR="001E79C9" w:rsidRPr="007D7EDF" w:rsidRDefault="001E79C9" w:rsidP="001E79C9">
      <w:pPr>
        <w:pStyle w:val="ListParagraph"/>
        <w:numPr>
          <w:ilvl w:val="1"/>
          <w:numId w:val="8"/>
        </w:numPr>
        <w:rPr>
          <w:sz w:val="22"/>
          <w:szCs w:val="22"/>
        </w:rPr>
      </w:pPr>
      <w:r w:rsidRPr="007D7EDF">
        <w:rPr>
          <w:sz w:val="22"/>
          <w:szCs w:val="22"/>
        </w:rPr>
        <w:t>Parcel boundary, PIN, owner (County Equalization Department)</w:t>
      </w:r>
    </w:p>
    <w:p w14:paraId="7AF3E249" w14:textId="77777777" w:rsidR="001E79C9" w:rsidRPr="007D7EDF" w:rsidRDefault="001E79C9" w:rsidP="001E79C9">
      <w:pPr>
        <w:pStyle w:val="ListParagraph"/>
        <w:numPr>
          <w:ilvl w:val="1"/>
          <w:numId w:val="8"/>
        </w:numPr>
        <w:rPr>
          <w:sz w:val="22"/>
          <w:szCs w:val="22"/>
        </w:rPr>
      </w:pPr>
      <w:r w:rsidRPr="007D7EDF">
        <w:rPr>
          <w:sz w:val="22"/>
          <w:szCs w:val="22"/>
        </w:rPr>
        <w:t>Pollution Prevention locations</w:t>
      </w:r>
    </w:p>
    <w:p w14:paraId="793D06D3" w14:textId="77777777" w:rsidR="001E79C9" w:rsidRPr="007D7EDF" w:rsidRDefault="001E79C9" w:rsidP="001E79C9">
      <w:pPr>
        <w:pStyle w:val="ListParagraph"/>
        <w:numPr>
          <w:ilvl w:val="1"/>
          <w:numId w:val="8"/>
        </w:numPr>
        <w:rPr>
          <w:sz w:val="22"/>
          <w:szCs w:val="22"/>
        </w:rPr>
      </w:pPr>
      <w:r w:rsidRPr="007D7EDF">
        <w:rPr>
          <w:sz w:val="22"/>
          <w:szCs w:val="22"/>
        </w:rPr>
        <w:t>Well data/chemistry</w:t>
      </w:r>
    </w:p>
    <w:p w14:paraId="353BB3AE" w14:textId="77777777" w:rsidR="001E79C9" w:rsidRDefault="001E79C9" w:rsidP="001E79C9">
      <w:pPr>
        <w:pStyle w:val="ListParagraph"/>
        <w:numPr>
          <w:ilvl w:val="1"/>
          <w:numId w:val="8"/>
        </w:numPr>
        <w:rPr>
          <w:sz w:val="22"/>
          <w:szCs w:val="22"/>
        </w:rPr>
      </w:pPr>
      <w:r w:rsidRPr="007D7EDF">
        <w:rPr>
          <w:sz w:val="22"/>
          <w:szCs w:val="22"/>
        </w:rPr>
        <w:t>Groundwater contamination sites</w:t>
      </w:r>
    </w:p>
    <w:p w14:paraId="027F2B99" w14:textId="77777777" w:rsidR="00EE5A63" w:rsidRPr="00EE5A63" w:rsidRDefault="00EE5A63" w:rsidP="00EE5A63">
      <w:pPr>
        <w:pStyle w:val="ListParagraph"/>
        <w:rPr>
          <w:sz w:val="8"/>
          <w:szCs w:val="8"/>
        </w:rPr>
      </w:pPr>
    </w:p>
    <w:p w14:paraId="4E68EAC2" w14:textId="77777777" w:rsidR="001E79C9" w:rsidRDefault="001E79C9" w:rsidP="001E79C9">
      <w:pPr>
        <w:pStyle w:val="ListParagraph"/>
        <w:numPr>
          <w:ilvl w:val="0"/>
          <w:numId w:val="8"/>
        </w:numPr>
        <w:rPr>
          <w:sz w:val="22"/>
          <w:szCs w:val="22"/>
        </w:rPr>
      </w:pPr>
      <w:r w:rsidRPr="007D7EDF">
        <w:rPr>
          <w:sz w:val="22"/>
          <w:szCs w:val="22"/>
        </w:rPr>
        <w:t>Parcels. Parcel-level data and parcel boundary files to be provided and maintained by three county health departments. Technical assistance will be provided to county GIS personnel to ensure digitizing accuracy.</w:t>
      </w:r>
    </w:p>
    <w:p w14:paraId="63B84FF1" w14:textId="77777777" w:rsidR="00EE5A63" w:rsidRPr="00EE5A63" w:rsidRDefault="00EE5A63" w:rsidP="00EE5A63">
      <w:pPr>
        <w:rPr>
          <w:sz w:val="8"/>
          <w:szCs w:val="8"/>
        </w:rPr>
      </w:pPr>
    </w:p>
    <w:p w14:paraId="2A02F86F" w14:textId="77777777" w:rsidR="001E79C9" w:rsidRDefault="001E79C9" w:rsidP="001E79C9">
      <w:pPr>
        <w:pStyle w:val="ListParagraph"/>
        <w:numPr>
          <w:ilvl w:val="0"/>
          <w:numId w:val="8"/>
        </w:numPr>
        <w:rPr>
          <w:sz w:val="22"/>
          <w:szCs w:val="22"/>
        </w:rPr>
      </w:pPr>
      <w:r w:rsidRPr="007D7EDF">
        <w:rPr>
          <w:i/>
          <w:sz w:val="22"/>
          <w:szCs w:val="22"/>
        </w:rPr>
        <w:t>Data Sources/CDC</w:t>
      </w:r>
      <w:r w:rsidRPr="007D7EDF">
        <w:rPr>
          <w:sz w:val="22"/>
          <w:szCs w:val="22"/>
        </w:rPr>
        <w:t xml:space="preserve"> will be used as initial guidance for HIA-related data requirements (electronic document to be provided in reference materials).</w:t>
      </w:r>
    </w:p>
    <w:p w14:paraId="2A7C5365" w14:textId="77777777" w:rsidR="00EE5A63" w:rsidRPr="00EE5A63" w:rsidRDefault="00EE5A63" w:rsidP="00EE5A63">
      <w:pPr>
        <w:rPr>
          <w:sz w:val="8"/>
          <w:szCs w:val="8"/>
        </w:rPr>
      </w:pPr>
    </w:p>
    <w:p w14:paraId="4F0179A3" w14:textId="77777777" w:rsidR="001E79C9" w:rsidRPr="007D7EDF" w:rsidRDefault="001E79C9" w:rsidP="001E79C9">
      <w:pPr>
        <w:pStyle w:val="ListParagraph"/>
        <w:numPr>
          <w:ilvl w:val="0"/>
          <w:numId w:val="8"/>
        </w:numPr>
        <w:rPr>
          <w:sz w:val="22"/>
          <w:szCs w:val="22"/>
        </w:rPr>
      </w:pPr>
      <w:r w:rsidRPr="007D7EDF">
        <w:rPr>
          <w:sz w:val="22"/>
          <w:szCs w:val="22"/>
        </w:rPr>
        <w:t>Initial data requirements will be project-specific as identified in the scoping phase of the Health Impact Assessment:</w:t>
      </w:r>
    </w:p>
    <w:p w14:paraId="06A44EB7" w14:textId="77777777" w:rsidR="001E79C9" w:rsidRPr="007D7EDF" w:rsidRDefault="001E79C9" w:rsidP="001E79C9">
      <w:pPr>
        <w:pStyle w:val="ListParagraph"/>
        <w:numPr>
          <w:ilvl w:val="1"/>
          <w:numId w:val="8"/>
        </w:numPr>
        <w:rPr>
          <w:sz w:val="22"/>
          <w:szCs w:val="22"/>
        </w:rPr>
      </w:pPr>
      <w:r w:rsidRPr="007D7EDF">
        <w:rPr>
          <w:sz w:val="22"/>
          <w:szCs w:val="22"/>
        </w:rPr>
        <w:t>Fair and Affordable Housing Plan</w:t>
      </w:r>
    </w:p>
    <w:p w14:paraId="686C768E" w14:textId="77777777" w:rsidR="001E79C9" w:rsidRPr="007D7EDF" w:rsidRDefault="001E79C9" w:rsidP="001E79C9">
      <w:pPr>
        <w:pStyle w:val="ListParagraph"/>
        <w:numPr>
          <w:ilvl w:val="1"/>
          <w:numId w:val="8"/>
        </w:numPr>
        <w:rPr>
          <w:sz w:val="22"/>
          <w:szCs w:val="22"/>
        </w:rPr>
      </w:pPr>
      <w:r w:rsidRPr="007D7EDF">
        <w:rPr>
          <w:sz w:val="22"/>
          <w:szCs w:val="22"/>
        </w:rPr>
        <w:t>Urban &amp; Regional Service Management Areas Policies</w:t>
      </w:r>
    </w:p>
    <w:p w14:paraId="240D08A5" w14:textId="77777777" w:rsidR="001E79C9" w:rsidRPr="007D7EDF" w:rsidRDefault="001E79C9" w:rsidP="001E79C9">
      <w:pPr>
        <w:pStyle w:val="ListParagraph"/>
        <w:numPr>
          <w:ilvl w:val="2"/>
          <w:numId w:val="8"/>
        </w:numPr>
        <w:rPr>
          <w:sz w:val="22"/>
          <w:szCs w:val="22"/>
        </w:rPr>
      </w:pPr>
      <w:r w:rsidRPr="007D7EDF">
        <w:rPr>
          <w:sz w:val="22"/>
          <w:szCs w:val="22"/>
        </w:rPr>
        <w:t>Regional water and sewer infrastructure</w:t>
      </w:r>
    </w:p>
    <w:p w14:paraId="23115A5D" w14:textId="77777777" w:rsidR="001E79C9" w:rsidRDefault="001E79C9" w:rsidP="001E79C9">
      <w:pPr>
        <w:pStyle w:val="ListParagraph"/>
        <w:numPr>
          <w:ilvl w:val="2"/>
          <w:numId w:val="8"/>
        </w:numPr>
        <w:rPr>
          <w:sz w:val="22"/>
          <w:szCs w:val="22"/>
        </w:rPr>
      </w:pPr>
      <w:r w:rsidRPr="007D7EDF">
        <w:rPr>
          <w:sz w:val="22"/>
          <w:szCs w:val="22"/>
        </w:rPr>
        <w:t>Additional data from local units of government.</w:t>
      </w:r>
    </w:p>
    <w:p w14:paraId="08103FEB" w14:textId="77777777" w:rsidR="00EE5A63" w:rsidRPr="00EE5A63" w:rsidRDefault="00EE5A63" w:rsidP="00EE5A63">
      <w:pPr>
        <w:pStyle w:val="ListParagraph"/>
        <w:rPr>
          <w:sz w:val="8"/>
          <w:szCs w:val="8"/>
        </w:rPr>
      </w:pPr>
    </w:p>
    <w:p w14:paraId="26107032" w14:textId="77777777" w:rsidR="00EE5A63" w:rsidRDefault="001E79C9" w:rsidP="001E79C9">
      <w:pPr>
        <w:pStyle w:val="ListParagraph"/>
        <w:numPr>
          <w:ilvl w:val="0"/>
          <w:numId w:val="8"/>
        </w:numPr>
        <w:rPr>
          <w:sz w:val="22"/>
          <w:szCs w:val="22"/>
        </w:rPr>
      </w:pPr>
      <w:r w:rsidRPr="00EE5A63">
        <w:rPr>
          <w:sz w:val="22"/>
          <w:szCs w:val="22"/>
        </w:rPr>
        <w:t>In order to ensure sustainability of the project, data will remain as property of organizations owning the data. These organizations will be responsible for maintaining, updating, and verifying accuracy.</w:t>
      </w:r>
    </w:p>
    <w:p w14:paraId="2BA2E678" w14:textId="77777777" w:rsidR="00EE5A63" w:rsidRPr="00EE5A63" w:rsidRDefault="00EE5A63" w:rsidP="00EE5A63">
      <w:pPr>
        <w:rPr>
          <w:sz w:val="8"/>
          <w:szCs w:val="8"/>
        </w:rPr>
      </w:pPr>
    </w:p>
    <w:p w14:paraId="6A7CE9AB" w14:textId="5FACFFE9" w:rsidR="001E79C9" w:rsidRPr="00EE5A63" w:rsidRDefault="001E79C9" w:rsidP="001E79C9">
      <w:pPr>
        <w:pStyle w:val="ListParagraph"/>
        <w:numPr>
          <w:ilvl w:val="0"/>
          <w:numId w:val="8"/>
        </w:numPr>
        <w:rPr>
          <w:sz w:val="22"/>
          <w:szCs w:val="22"/>
        </w:rPr>
      </w:pPr>
      <w:r w:rsidRPr="00EE5A63">
        <w:rPr>
          <w:sz w:val="22"/>
          <w:szCs w:val="22"/>
        </w:rPr>
        <w:t>Data permissions will be coordinated with TCRPC; some conditioning may be required.</w:t>
      </w:r>
    </w:p>
    <w:p w14:paraId="551D2C26" w14:textId="77777777" w:rsidR="001E79C9" w:rsidRDefault="001E79C9" w:rsidP="001E79C9">
      <w:pPr>
        <w:rPr>
          <w:sz w:val="22"/>
          <w:szCs w:val="22"/>
          <w:lang w:eastAsia="ja-JP"/>
        </w:rPr>
      </w:pPr>
    </w:p>
    <w:p w14:paraId="38C5B2E3" w14:textId="77777777" w:rsidR="00EE5A63" w:rsidRPr="007D7EDF" w:rsidRDefault="00EE5A63" w:rsidP="001E79C9">
      <w:pPr>
        <w:rPr>
          <w:sz w:val="22"/>
          <w:szCs w:val="22"/>
          <w:lang w:eastAsia="ja-JP"/>
        </w:rPr>
      </w:pPr>
    </w:p>
    <w:tbl>
      <w:tblPr>
        <w:tblStyle w:val="TableGrid"/>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6839"/>
        <w:gridCol w:w="2737"/>
      </w:tblGrid>
      <w:tr w:rsidR="00AD0F63" w:rsidRPr="005516BA" w14:paraId="7F209365" w14:textId="77777777" w:rsidTr="00567459">
        <w:tc>
          <w:tcPr>
            <w:tcW w:w="3571" w:type="pct"/>
            <w:tcBorders>
              <w:top w:val="single" w:sz="18" w:space="0" w:color="auto"/>
              <w:bottom w:val="double" w:sz="4" w:space="0" w:color="auto"/>
            </w:tcBorders>
            <w:vAlign w:val="center"/>
          </w:tcPr>
          <w:p w14:paraId="1A12D1F6" w14:textId="77777777" w:rsidR="00AD0F63" w:rsidRPr="005516BA" w:rsidRDefault="00AD0F63" w:rsidP="00AD0F63">
            <w:pPr>
              <w:jc w:val="center"/>
              <w:rPr>
                <w:b/>
                <w:sz w:val="22"/>
                <w:szCs w:val="22"/>
              </w:rPr>
            </w:pPr>
            <w:r w:rsidRPr="005516BA">
              <w:rPr>
                <w:b/>
                <w:sz w:val="22"/>
                <w:szCs w:val="22"/>
              </w:rPr>
              <w:t>Data Type</w:t>
            </w:r>
          </w:p>
        </w:tc>
        <w:tc>
          <w:tcPr>
            <w:tcW w:w="1429" w:type="pct"/>
            <w:tcBorders>
              <w:top w:val="single" w:sz="18" w:space="0" w:color="auto"/>
              <w:bottom w:val="double" w:sz="4" w:space="0" w:color="auto"/>
            </w:tcBorders>
            <w:vAlign w:val="center"/>
          </w:tcPr>
          <w:p w14:paraId="5F0D9272" w14:textId="4968D367" w:rsidR="00AD0F63" w:rsidRDefault="00AD0F63" w:rsidP="00AD0F63">
            <w:pPr>
              <w:jc w:val="center"/>
              <w:rPr>
                <w:b/>
                <w:sz w:val="22"/>
                <w:szCs w:val="22"/>
              </w:rPr>
            </w:pPr>
            <w:r>
              <w:rPr>
                <w:b/>
                <w:sz w:val="22"/>
                <w:szCs w:val="22"/>
              </w:rPr>
              <w:t>D</w:t>
            </w:r>
            <w:r w:rsidR="00216BCF">
              <w:rPr>
                <w:b/>
                <w:sz w:val="22"/>
                <w:szCs w:val="22"/>
              </w:rPr>
              <w:t>ata Use</w:t>
            </w:r>
            <w:r>
              <w:rPr>
                <w:b/>
                <w:sz w:val="22"/>
                <w:szCs w:val="22"/>
              </w:rPr>
              <w:t xml:space="preserve"> in</w:t>
            </w:r>
          </w:p>
          <w:p w14:paraId="26B81594" w14:textId="77777777" w:rsidR="00AD0F63" w:rsidRPr="005516BA" w:rsidRDefault="00AD0F63" w:rsidP="00AD0F63">
            <w:pPr>
              <w:jc w:val="center"/>
              <w:rPr>
                <w:b/>
                <w:sz w:val="22"/>
                <w:szCs w:val="22"/>
              </w:rPr>
            </w:pPr>
            <w:r w:rsidRPr="005516BA">
              <w:rPr>
                <w:b/>
                <w:sz w:val="22"/>
                <w:szCs w:val="22"/>
              </w:rPr>
              <w:t xml:space="preserve">Order </w:t>
            </w:r>
            <w:r>
              <w:rPr>
                <w:b/>
                <w:sz w:val="22"/>
                <w:szCs w:val="22"/>
              </w:rPr>
              <w:t>of Preference (%)</w:t>
            </w:r>
          </w:p>
        </w:tc>
      </w:tr>
      <w:tr w:rsidR="00AD0F63" w14:paraId="6BF0D51D" w14:textId="77777777" w:rsidTr="00AD0F63">
        <w:tc>
          <w:tcPr>
            <w:tcW w:w="3571" w:type="pct"/>
            <w:tcBorders>
              <w:top w:val="double" w:sz="4" w:space="0" w:color="auto"/>
            </w:tcBorders>
          </w:tcPr>
          <w:p w14:paraId="1FC39895" w14:textId="77777777" w:rsidR="00AD0F63" w:rsidRPr="00C85DA7" w:rsidRDefault="00AD0F63" w:rsidP="00AD0F63">
            <w:pPr>
              <w:pStyle w:val="NormalWeb"/>
              <w:spacing w:before="0" w:beforeAutospacing="0" w:after="0" w:afterAutospacing="0"/>
              <w:rPr>
                <w:rFonts w:ascii="Times New Roman" w:hAnsi="Times New Roman"/>
                <w:sz w:val="22"/>
                <w:szCs w:val="22"/>
              </w:rPr>
            </w:pPr>
            <w:r>
              <w:rPr>
                <w:rFonts w:ascii="Times New Roman" w:hAnsi="Times New Roman"/>
                <w:color w:val="000000"/>
                <w:kern w:val="24"/>
                <w:sz w:val="22"/>
                <w:szCs w:val="22"/>
              </w:rPr>
              <w:t>Present and Future Land Use</w:t>
            </w:r>
          </w:p>
        </w:tc>
        <w:tc>
          <w:tcPr>
            <w:tcW w:w="1429" w:type="pct"/>
            <w:tcBorders>
              <w:top w:val="double" w:sz="4" w:space="0" w:color="auto"/>
            </w:tcBorders>
          </w:tcPr>
          <w:p w14:paraId="2DC14E97" w14:textId="77777777" w:rsidR="00AD0F63" w:rsidRDefault="00AD0F63" w:rsidP="00AD0F63">
            <w:pPr>
              <w:jc w:val="center"/>
              <w:rPr>
                <w:sz w:val="22"/>
                <w:szCs w:val="22"/>
              </w:rPr>
            </w:pPr>
            <w:r>
              <w:rPr>
                <w:sz w:val="22"/>
                <w:szCs w:val="22"/>
              </w:rPr>
              <w:t>48.4</w:t>
            </w:r>
          </w:p>
        </w:tc>
      </w:tr>
      <w:tr w:rsidR="00AD0F63" w14:paraId="323BBAE9" w14:textId="77777777" w:rsidTr="00AD0F63">
        <w:tc>
          <w:tcPr>
            <w:tcW w:w="3571" w:type="pct"/>
          </w:tcPr>
          <w:p w14:paraId="112CA6B5" w14:textId="77777777" w:rsidR="00AD0F63" w:rsidRDefault="00AD0F63" w:rsidP="00AD0F63">
            <w:pPr>
              <w:rPr>
                <w:sz w:val="22"/>
                <w:szCs w:val="22"/>
              </w:rPr>
            </w:pPr>
            <w:r>
              <w:rPr>
                <w:color w:val="000000"/>
                <w:kern w:val="24"/>
                <w:sz w:val="22"/>
                <w:szCs w:val="22"/>
              </w:rPr>
              <w:t>Parcel Boundaries</w:t>
            </w:r>
          </w:p>
        </w:tc>
        <w:tc>
          <w:tcPr>
            <w:tcW w:w="1429" w:type="pct"/>
          </w:tcPr>
          <w:p w14:paraId="79043A41" w14:textId="77777777" w:rsidR="00AD0F63" w:rsidRDefault="00AD0F63" w:rsidP="00AD0F63">
            <w:pPr>
              <w:jc w:val="center"/>
              <w:rPr>
                <w:sz w:val="22"/>
                <w:szCs w:val="22"/>
              </w:rPr>
            </w:pPr>
            <w:r>
              <w:rPr>
                <w:sz w:val="22"/>
                <w:szCs w:val="22"/>
              </w:rPr>
              <w:t>45.2</w:t>
            </w:r>
          </w:p>
        </w:tc>
      </w:tr>
      <w:tr w:rsidR="00AD0F63" w14:paraId="08CB2A1D" w14:textId="77777777" w:rsidTr="00AD0F63">
        <w:tc>
          <w:tcPr>
            <w:tcW w:w="3571" w:type="pct"/>
          </w:tcPr>
          <w:p w14:paraId="387E5AAE" w14:textId="77777777" w:rsidR="00AD0F63" w:rsidRDefault="00AD0F63" w:rsidP="00AD0F63">
            <w:pPr>
              <w:rPr>
                <w:sz w:val="22"/>
                <w:szCs w:val="22"/>
              </w:rPr>
            </w:pPr>
            <w:r w:rsidRPr="004F218F">
              <w:rPr>
                <w:color w:val="000000"/>
                <w:kern w:val="24"/>
                <w:sz w:val="22"/>
                <w:szCs w:val="22"/>
              </w:rPr>
              <w:t xml:space="preserve">Parks, Trails, etc.  </w:t>
            </w:r>
          </w:p>
        </w:tc>
        <w:tc>
          <w:tcPr>
            <w:tcW w:w="1429" w:type="pct"/>
          </w:tcPr>
          <w:p w14:paraId="62699D7A" w14:textId="77777777" w:rsidR="00AD0F63" w:rsidRDefault="00AD0F63" w:rsidP="00AD0F63">
            <w:pPr>
              <w:jc w:val="center"/>
              <w:rPr>
                <w:sz w:val="22"/>
                <w:szCs w:val="22"/>
              </w:rPr>
            </w:pPr>
            <w:r>
              <w:rPr>
                <w:sz w:val="22"/>
                <w:szCs w:val="22"/>
              </w:rPr>
              <w:t>45.2</w:t>
            </w:r>
          </w:p>
        </w:tc>
      </w:tr>
      <w:tr w:rsidR="00AD0F63" w14:paraId="0C7BB8A4" w14:textId="77777777" w:rsidTr="00AD0F63">
        <w:tc>
          <w:tcPr>
            <w:tcW w:w="3571" w:type="pct"/>
          </w:tcPr>
          <w:p w14:paraId="751B5760" w14:textId="77777777" w:rsidR="00AD0F63" w:rsidRDefault="00AD0F63" w:rsidP="00AD0F63">
            <w:pPr>
              <w:rPr>
                <w:sz w:val="22"/>
                <w:szCs w:val="22"/>
              </w:rPr>
            </w:pPr>
            <w:r w:rsidRPr="004F218F">
              <w:rPr>
                <w:color w:val="000000"/>
                <w:kern w:val="24"/>
                <w:sz w:val="22"/>
                <w:szCs w:val="22"/>
              </w:rPr>
              <w:t>Zoning Categories</w:t>
            </w:r>
          </w:p>
        </w:tc>
        <w:tc>
          <w:tcPr>
            <w:tcW w:w="1429" w:type="pct"/>
          </w:tcPr>
          <w:p w14:paraId="34F3EA99" w14:textId="77777777" w:rsidR="00AD0F63" w:rsidRDefault="00AD0F63" w:rsidP="00AD0F63">
            <w:pPr>
              <w:jc w:val="center"/>
              <w:rPr>
                <w:sz w:val="22"/>
                <w:szCs w:val="22"/>
              </w:rPr>
            </w:pPr>
            <w:r>
              <w:rPr>
                <w:sz w:val="22"/>
                <w:szCs w:val="22"/>
              </w:rPr>
              <w:t>35.5</w:t>
            </w:r>
          </w:p>
        </w:tc>
      </w:tr>
      <w:tr w:rsidR="00AD0F63" w14:paraId="7B325D4A" w14:textId="77777777" w:rsidTr="00AD0F63">
        <w:tc>
          <w:tcPr>
            <w:tcW w:w="3571" w:type="pct"/>
          </w:tcPr>
          <w:p w14:paraId="016722E1" w14:textId="77777777" w:rsidR="00AD0F63" w:rsidRDefault="00AD0F63" w:rsidP="00AD0F63">
            <w:pPr>
              <w:rPr>
                <w:sz w:val="22"/>
                <w:szCs w:val="22"/>
              </w:rPr>
            </w:pPr>
            <w:r w:rsidRPr="004F218F">
              <w:rPr>
                <w:color w:val="000000"/>
                <w:kern w:val="24"/>
                <w:sz w:val="22"/>
                <w:szCs w:val="22"/>
              </w:rPr>
              <w:t>Infrastructure</w:t>
            </w:r>
          </w:p>
        </w:tc>
        <w:tc>
          <w:tcPr>
            <w:tcW w:w="1429" w:type="pct"/>
          </w:tcPr>
          <w:p w14:paraId="6CB1C729" w14:textId="77777777" w:rsidR="00AD0F63" w:rsidRDefault="00AD0F63" w:rsidP="00AD0F63">
            <w:pPr>
              <w:jc w:val="center"/>
              <w:rPr>
                <w:sz w:val="22"/>
                <w:szCs w:val="22"/>
              </w:rPr>
            </w:pPr>
            <w:r>
              <w:rPr>
                <w:sz w:val="22"/>
                <w:szCs w:val="22"/>
              </w:rPr>
              <w:t>35.5</w:t>
            </w:r>
          </w:p>
        </w:tc>
      </w:tr>
      <w:tr w:rsidR="00AD0F63" w14:paraId="50E3E43A" w14:textId="77777777" w:rsidTr="00AD0F63">
        <w:tc>
          <w:tcPr>
            <w:tcW w:w="3571" w:type="pct"/>
          </w:tcPr>
          <w:p w14:paraId="5631CCC1" w14:textId="77777777" w:rsidR="00AD0F63" w:rsidRDefault="00AD0F63" w:rsidP="00AD0F63">
            <w:pPr>
              <w:rPr>
                <w:sz w:val="22"/>
                <w:szCs w:val="22"/>
              </w:rPr>
            </w:pPr>
            <w:r w:rsidRPr="004F218F">
              <w:rPr>
                <w:color w:val="000000"/>
                <w:kern w:val="24"/>
                <w:sz w:val="22"/>
                <w:szCs w:val="22"/>
              </w:rPr>
              <w:t xml:space="preserve">Roads, </w:t>
            </w:r>
            <w:r>
              <w:rPr>
                <w:color w:val="000000"/>
                <w:kern w:val="24"/>
                <w:sz w:val="22"/>
                <w:szCs w:val="22"/>
              </w:rPr>
              <w:t xml:space="preserve">Storm/Sanitary </w:t>
            </w:r>
            <w:r w:rsidRPr="004F218F">
              <w:rPr>
                <w:color w:val="000000"/>
                <w:kern w:val="24"/>
                <w:sz w:val="22"/>
                <w:szCs w:val="22"/>
              </w:rPr>
              <w:t>Sewer, etc.</w:t>
            </w:r>
          </w:p>
        </w:tc>
        <w:tc>
          <w:tcPr>
            <w:tcW w:w="1429" w:type="pct"/>
          </w:tcPr>
          <w:p w14:paraId="4F88DF1B" w14:textId="77777777" w:rsidR="00AD0F63" w:rsidRDefault="00AD0F63" w:rsidP="00AD0F63">
            <w:pPr>
              <w:jc w:val="center"/>
              <w:rPr>
                <w:sz w:val="22"/>
                <w:szCs w:val="22"/>
              </w:rPr>
            </w:pPr>
            <w:r>
              <w:rPr>
                <w:sz w:val="22"/>
                <w:szCs w:val="22"/>
              </w:rPr>
              <w:t>35.5</w:t>
            </w:r>
          </w:p>
        </w:tc>
      </w:tr>
      <w:tr w:rsidR="00AD0F63" w14:paraId="3E9DFAE1" w14:textId="77777777" w:rsidTr="00AD0F63">
        <w:tc>
          <w:tcPr>
            <w:tcW w:w="3571" w:type="pct"/>
          </w:tcPr>
          <w:p w14:paraId="51B7619B" w14:textId="77777777" w:rsidR="00AD0F63" w:rsidRDefault="00AD0F63" w:rsidP="00AD0F63">
            <w:pPr>
              <w:rPr>
                <w:sz w:val="22"/>
                <w:szCs w:val="22"/>
              </w:rPr>
            </w:pPr>
            <w:r w:rsidRPr="004F218F">
              <w:rPr>
                <w:color w:val="000000"/>
                <w:kern w:val="24"/>
                <w:sz w:val="22"/>
                <w:szCs w:val="22"/>
              </w:rPr>
              <w:t>Schools</w:t>
            </w:r>
          </w:p>
        </w:tc>
        <w:tc>
          <w:tcPr>
            <w:tcW w:w="1429" w:type="pct"/>
          </w:tcPr>
          <w:p w14:paraId="03285DAA" w14:textId="77777777" w:rsidR="00AD0F63" w:rsidRDefault="00AD0F63" w:rsidP="00AD0F63">
            <w:pPr>
              <w:jc w:val="center"/>
              <w:rPr>
                <w:sz w:val="22"/>
                <w:szCs w:val="22"/>
              </w:rPr>
            </w:pPr>
            <w:r>
              <w:rPr>
                <w:sz w:val="22"/>
                <w:szCs w:val="22"/>
              </w:rPr>
              <w:t>35.5</w:t>
            </w:r>
          </w:p>
        </w:tc>
      </w:tr>
      <w:tr w:rsidR="00AD0F63" w14:paraId="0B03CFA5" w14:textId="77777777" w:rsidTr="00AD0F63">
        <w:tc>
          <w:tcPr>
            <w:tcW w:w="3571" w:type="pct"/>
          </w:tcPr>
          <w:p w14:paraId="4DAE6574" w14:textId="77777777" w:rsidR="00AD0F63" w:rsidRDefault="00AD0F63" w:rsidP="00AD0F63">
            <w:pPr>
              <w:rPr>
                <w:sz w:val="22"/>
                <w:szCs w:val="22"/>
              </w:rPr>
            </w:pPr>
            <w:r w:rsidRPr="004F218F">
              <w:rPr>
                <w:color w:val="000000"/>
                <w:kern w:val="24"/>
                <w:sz w:val="22"/>
                <w:szCs w:val="22"/>
              </w:rPr>
              <w:t>Floodplains</w:t>
            </w:r>
          </w:p>
        </w:tc>
        <w:tc>
          <w:tcPr>
            <w:tcW w:w="1429" w:type="pct"/>
          </w:tcPr>
          <w:p w14:paraId="3676EA35" w14:textId="77777777" w:rsidR="00AD0F63" w:rsidRDefault="00AD0F63" w:rsidP="00AD0F63">
            <w:pPr>
              <w:jc w:val="center"/>
              <w:rPr>
                <w:sz w:val="22"/>
                <w:szCs w:val="22"/>
              </w:rPr>
            </w:pPr>
            <w:r>
              <w:rPr>
                <w:sz w:val="22"/>
                <w:szCs w:val="22"/>
              </w:rPr>
              <w:t>32.3</w:t>
            </w:r>
          </w:p>
        </w:tc>
      </w:tr>
      <w:tr w:rsidR="00AD0F63" w14:paraId="2065A3F7" w14:textId="77777777" w:rsidTr="00AD0F63">
        <w:tc>
          <w:tcPr>
            <w:tcW w:w="3571" w:type="pct"/>
          </w:tcPr>
          <w:p w14:paraId="2C419EFF" w14:textId="77777777" w:rsidR="00AD0F63" w:rsidRDefault="00AD0F63" w:rsidP="00AD0F63">
            <w:pPr>
              <w:rPr>
                <w:sz w:val="22"/>
                <w:szCs w:val="22"/>
              </w:rPr>
            </w:pPr>
            <w:r w:rsidRPr="004F218F">
              <w:rPr>
                <w:color w:val="000000"/>
                <w:kern w:val="24"/>
                <w:sz w:val="22"/>
                <w:szCs w:val="22"/>
              </w:rPr>
              <w:t>Water Features</w:t>
            </w:r>
          </w:p>
        </w:tc>
        <w:tc>
          <w:tcPr>
            <w:tcW w:w="1429" w:type="pct"/>
          </w:tcPr>
          <w:p w14:paraId="6C7D5CFF" w14:textId="77777777" w:rsidR="00AD0F63" w:rsidRDefault="00AD0F63" w:rsidP="00AD0F63">
            <w:pPr>
              <w:jc w:val="center"/>
              <w:rPr>
                <w:sz w:val="22"/>
                <w:szCs w:val="22"/>
              </w:rPr>
            </w:pPr>
            <w:r>
              <w:rPr>
                <w:sz w:val="22"/>
                <w:szCs w:val="22"/>
              </w:rPr>
              <w:t>29.0</w:t>
            </w:r>
          </w:p>
        </w:tc>
      </w:tr>
      <w:tr w:rsidR="00AD0F63" w14:paraId="389BE8C6" w14:textId="77777777" w:rsidTr="00AD0F63">
        <w:tc>
          <w:tcPr>
            <w:tcW w:w="3571" w:type="pct"/>
          </w:tcPr>
          <w:p w14:paraId="765001FC" w14:textId="77777777" w:rsidR="00AD0F63" w:rsidRDefault="00AD0F63" w:rsidP="00AD0F63">
            <w:pPr>
              <w:rPr>
                <w:sz w:val="22"/>
                <w:szCs w:val="22"/>
              </w:rPr>
            </w:pPr>
            <w:r w:rsidRPr="004F218F">
              <w:rPr>
                <w:color w:val="000000"/>
                <w:kern w:val="24"/>
                <w:sz w:val="22"/>
                <w:szCs w:val="22"/>
              </w:rPr>
              <w:t>Green Space</w:t>
            </w:r>
          </w:p>
        </w:tc>
        <w:tc>
          <w:tcPr>
            <w:tcW w:w="1429" w:type="pct"/>
          </w:tcPr>
          <w:p w14:paraId="766916C8" w14:textId="77777777" w:rsidR="00AD0F63" w:rsidRDefault="00AD0F63" w:rsidP="00AD0F63">
            <w:pPr>
              <w:jc w:val="center"/>
              <w:rPr>
                <w:sz w:val="22"/>
                <w:szCs w:val="22"/>
              </w:rPr>
            </w:pPr>
            <w:r>
              <w:rPr>
                <w:sz w:val="22"/>
                <w:szCs w:val="22"/>
              </w:rPr>
              <w:t>29.0</w:t>
            </w:r>
          </w:p>
        </w:tc>
      </w:tr>
      <w:tr w:rsidR="00AD0F63" w14:paraId="13A471AC" w14:textId="77777777" w:rsidTr="00AD0F63">
        <w:tc>
          <w:tcPr>
            <w:tcW w:w="3571" w:type="pct"/>
          </w:tcPr>
          <w:p w14:paraId="503DBFFB" w14:textId="77777777" w:rsidR="00AD0F63" w:rsidRDefault="00AD0F63" w:rsidP="00AD0F63">
            <w:pPr>
              <w:rPr>
                <w:sz w:val="22"/>
                <w:szCs w:val="22"/>
              </w:rPr>
            </w:pPr>
            <w:r w:rsidRPr="004F218F">
              <w:rPr>
                <w:color w:val="000000"/>
                <w:kern w:val="24"/>
                <w:sz w:val="22"/>
                <w:szCs w:val="22"/>
              </w:rPr>
              <w:t>Housing</w:t>
            </w:r>
          </w:p>
        </w:tc>
        <w:tc>
          <w:tcPr>
            <w:tcW w:w="1429" w:type="pct"/>
          </w:tcPr>
          <w:p w14:paraId="6BFAE808" w14:textId="77777777" w:rsidR="00AD0F63" w:rsidRDefault="00AD0F63" w:rsidP="00AD0F63">
            <w:pPr>
              <w:jc w:val="center"/>
              <w:rPr>
                <w:sz w:val="22"/>
                <w:szCs w:val="22"/>
              </w:rPr>
            </w:pPr>
            <w:r>
              <w:rPr>
                <w:sz w:val="22"/>
                <w:szCs w:val="22"/>
              </w:rPr>
              <w:t>29.0</w:t>
            </w:r>
          </w:p>
        </w:tc>
      </w:tr>
      <w:tr w:rsidR="00AD0F63" w14:paraId="4F5C737D" w14:textId="77777777" w:rsidTr="00AD0F63">
        <w:tc>
          <w:tcPr>
            <w:tcW w:w="3571" w:type="pct"/>
          </w:tcPr>
          <w:p w14:paraId="26A98337" w14:textId="77777777" w:rsidR="00AD0F63" w:rsidRDefault="00AD0F63" w:rsidP="00AD0F63">
            <w:pPr>
              <w:rPr>
                <w:sz w:val="22"/>
                <w:szCs w:val="22"/>
              </w:rPr>
            </w:pPr>
            <w:r>
              <w:rPr>
                <w:color w:val="000000"/>
                <w:kern w:val="24"/>
                <w:sz w:val="22"/>
                <w:szCs w:val="22"/>
              </w:rPr>
              <w:t>Soils</w:t>
            </w:r>
          </w:p>
        </w:tc>
        <w:tc>
          <w:tcPr>
            <w:tcW w:w="1429" w:type="pct"/>
          </w:tcPr>
          <w:p w14:paraId="501BA381" w14:textId="77777777" w:rsidR="00AD0F63" w:rsidRDefault="00AD0F63" w:rsidP="00AD0F63">
            <w:pPr>
              <w:jc w:val="center"/>
              <w:rPr>
                <w:sz w:val="22"/>
                <w:szCs w:val="22"/>
              </w:rPr>
            </w:pPr>
            <w:r>
              <w:rPr>
                <w:sz w:val="22"/>
                <w:szCs w:val="22"/>
              </w:rPr>
              <w:t>19.4</w:t>
            </w:r>
          </w:p>
        </w:tc>
      </w:tr>
      <w:tr w:rsidR="00AD0F63" w14:paraId="34A57D6D" w14:textId="77777777" w:rsidTr="00AD0F63">
        <w:tc>
          <w:tcPr>
            <w:tcW w:w="3571" w:type="pct"/>
          </w:tcPr>
          <w:p w14:paraId="28C76445" w14:textId="77777777" w:rsidR="00AD0F63" w:rsidRDefault="00AD0F63" w:rsidP="00AD0F63">
            <w:pPr>
              <w:rPr>
                <w:sz w:val="22"/>
                <w:szCs w:val="22"/>
              </w:rPr>
            </w:pPr>
            <w:r w:rsidRPr="004F218F">
              <w:rPr>
                <w:color w:val="000000"/>
                <w:kern w:val="24"/>
                <w:sz w:val="22"/>
                <w:szCs w:val="22"/>
              </w:rPr>
              <w:t>Water and Sewer Service Areas/Boundaries</w:t>
            </w:r>
          </w:p>
        </w:tc>
        <w:tc>
          <w:tcPr>
            <w:tcW w:w="1429" w:type="pct"/>
          </w:tcPr>
          <w:p w14:paraId="045E6717" w14:textId="77777777" w:rsidR="00AD0F63" w:rsidRDefault="00AD0F63" w:rsidP="00AD0F63">
            <w:pPr>
              <w:jc w:val="center"/>
              <w:rPr>
                <w:sz w:val="22"/>
                <w:szCs w:val="22"/>
              </w:rPr>
            </w:pPr>
            <w:r>
              <w:rPr>
                <w:sz w:val="22"/>
                <w:szCs w:val="22"/>
              </w:rPr>
              <w:t>19.4</w:t>
            </w:r>
          </w:p>
        </w:tc>
      </w:tr>
      <w:tr w:rsidR="00AD0F63" w14:paraId="3BE9533F" w14:textId="77777777" w:rsidTr="00AD0F63">
        <w:tc>
          <w:tcPr>
            <w:tcW w:w="3571" w:type="pct"/>
          </w:tcPr>
          <w:p w14:paraId="4BC98E8C" w14:textId="77777777" w:rsidR="00AD0F63" w:rsidRDefault="00AD0F63" w:rsidP="00AD0F63">
            <w:pPr>
              <w:rPr>
                <w:sz w:val="22"/>
                <w:szCs w:val="22"/>
              </w:rPr>
            </w:pPr>
            <w:r w:rsidRPr="004F218F">
              <w:rPr>
                <w:color w:val="000000"/>
                <w:kern w:val="24"/>
                <w:sz w:val="22"/>
                <w:szCs w:val="22"/>
              </w:rPr>
              <w:t>Census Data</w:t>
            </w:r>
          </w:p>
        </w:tc>
        <w:tc>
          <w:tcPr>
            <w:tcW w:w="1429" w:type="pct"/>
          </w:tcPr>
          <w:p w14:paraId="0E6E636F" w14:textId="77777777" w:rsidR="00AD0F63" w:rsidRDefault="00AD0F63" w:rsidP="00AD0F63">
            <w:pPr>
              <w:jc w:val="center"/>
              <w:rPr>
                <w:sz w:val="22"/>
                <w:szCs w:val="22"/>
              </w:rPr>
            </w:pPr>
            <w:r>
              <w:rPr>
                <w:sz w:val="22"/>
                <w:szCs w:val="22"/>
              </w:rPr>
              <w:t>19.4</w:t>
            </w:r>
          </w:p>
        </w:tc>
      </w:tr>
      <w:tr w:rsidR="00AD0F63" w14:paraId="4A55D50B" w14:textId="77777777" w:rsidTr="00AD0F63">
        <w:tc>
          <w:tcPr>
            <w:tcW w:w="3571" w:type="pct"/>
          </w:tcPr>
          <w:p w14:paraId="012B5B07" w14:textId="77777777" w:rsidR="00AD0F63" w:rsidRDefault="00AD0F63" w:rsidP="00AD0F63">
            <w:pPr>
              <w:rPr>
                <w:sz w:val="22"/>
                <w:szCs w:val="22"/>
              </w:rPr>
            </w:pPr>
            <w:r w:rsidRPr="004F218F">
              <w:rPr>
                <w:color w:val="000000"/>
                <w:kern w:val="24"/>
                <w:sz w:val="22"/>
                <w:szCs w:val="22"/>
              </w:rPr>
              <w:t>Vegetation</w:t>
            </w:r>
          </w:p>
        </w:tc>
        <w:tc>
          <w:tcPr>
            <w:tcW w:w="1429" w:type="pct"/>
          </w:tcPr>
          <w:p w14:paraId="774FC56D" w14:textId="77777777" w:rsidR="00AD0F63" w:rsidRDefault="00AD0F63" w:rsidP="00AD0F63">
            <w:pPr>
              <w:jc w:val="center"/>
              <w:rPr>
                <w:sz w:val="22"/>
                <w:szCs w:val="22"/>
              </w:rPr>
            </w:pPr>
            <w:r>
              <w:rPr>
                <w:sz w:val="22"/>
                <w:szCs w:val="22"/>
              </w:rPr>
              <w:t>16.1</w:t>
            </w:r>
          </w:p>
        </w:tc>
      </w:tr>
      <w:tr w:rsidR="00AD0F63" w14:paraId="05D758B7" w14:textId="77777777" w:rsidTr="00AD0F63">
        <w:tc>
          <w:tcPr>
            <w:tcW w:w="3571" w:type="pct"/>
          </w:tcPr>
          <w:p w14:paraId="59DAE255" w14:textId="77777777" w:rsidR="00AD0F63" w:rsidRDefault="00AD0F63" w:rsidP="00AD0F63">
            <w:pPr>
              <w:rPr>
                <w:sz w:val="22"/>
                <w:szCs w:val="22"/>
              </w:rPr>
            </w:pPr>
            <w:r w:rsidRPr="004F218F">
              <w:rPr>
                <w:color w:val="000000"/>
                <w:kern w:val="24"/>
                <w:sz w:val="22"/>
                <w:szCs w:val="22"/>
              </w:rPr>
              <w:t>Public Wells</w:t>
            </w:r>
          </w:p>
        </w:tc>
        <w:tc>
          <w:tcPr>
            <w:tcW w:w="1429" w:type="pct"/>
          </w:tcPr>
          <w:p w14:paraId="3D29C0D4" w14:textId="77777777" w:rsidR="00AD0F63" w:rsidRDefault="00AD0F63" w:rsidP="00AD0F63">
            <w:pPr>
              <w:jc w:val="center"/>
              <w:rPr>
                <w:sz w:val="22"/>
                <w:szCs w:val="22"/>
              </w:rPr>
            </w:pPr>
            <w:r>
              <w:rPr>
                <w:sz w:val="22"/>
                <w:szCs w:val="22"/>
              </w:rPr>
              <w:t>16.1</w:t>
            </w:r>
          </w:p>
        </w:tc>
      </w:tr>
      <w:tr w:rsidR="00AD0F63" w14:paraId="198C7D41" w14:textId="77777777" w:rsidTr="00AD0F63">
        <w:tc>
          <w:tcPr>
            <w:tcW w:w="3571" w:type="pct"/>
          </w:tcPr>
          <w:p w14:paraId="317313D6" w14:textId="77777777" w:rsidR="00AD0F63" w:rsidRDefault="00AD0F63" w:rsidP="00AD0F63">
            <w:pPr>
              <w:rPr>
                <w:sz w:val="22"/>
                <w:szCs w:val="22"/>
              </w:rPr>
            </w:pPr>
            <w:r w:rsidRPr="004F218F">
              <w:rPr>
                <w:color w:val="000000"/>
                <w:kern w:val="24"/>
                <w:sz w:val="22"/>
                <w:szCs w:val="22"/>
              </w:rPr>
              <w:t>Food Resources</w:t>
            </w:r>
          </w:p>
        </w:tc>
        <w:tc>
          <w:tcPr>
            <w:tcW w:w="1429" w:type="pct"/>
          </w:tcPr>
          <w:p w14:paraId="26CCCACA" w14:textId="77777777" w:rsidR="00AD0F63" w:rsidRDefault="00AD0F63" w:rsidP="00AD0F63">
            <w:pPr>
              <w:jc w:val="center"/>
              <w:rPr>
                <w:sz w:val="22"/>
                <w:szCs w:val="22"/>
              </w:rPr>
            </w:pPr>
            <w:r>
              <w:rPr>
                <w:sz w:val="22"/>
                <w:szCs w:val="22"/>
              </w:rPr>
              <w:t>9.7</w:t>
            </w:r>
          </w:p>
        </w:tc>
      </w:tr>
      <w:tr w:rsidR="00AD0F63" w14:paraId="1A0EAEF8" w14:textId="77777777" w:rsidTr="00AD0F63">
        <w:tc>
          <w:tcPr>
            <w:tcW w:w="3571" w:type="pct"/>
          </w:tcPr>
          <w:p w14:paraId="3DADE03C" w14:textId="77777777" w:rsidR="00AD0F63" w:rsidRDefault="00AD0F63" w:rsidP="00AD0F63">
            <w:pPr>
              <w:rPr>
                <w:sz w:val="22"/>
                <w:szCs w:val="22"/>
              </w:rPr>
            </w:pPr>
            <w:r>
              <w:rPr>
                <w:sz w:val="22"/>
                <w:szCs w:val="22"/>
              </w:rPr>
              <w:t>Chemical Storage; Potentially Contaminated Sites</w:t>
            </w:r>
          </w:p>
        </w:tc>
        <w:tc>
          <w:tcPr>
            <w:tcW w:w="1429" w:type="pct"/>
          </w:tcPr>
          <w:p w14:paraId="52802B6C" w14:textId="77777777" w:rsidR="00AD0F63" w:rsidRDefault="00AD0F63" w:rsidP="00AD0F63">
            <w:pPr>
              <w:jc w:val="center"/>
              <w:rPr>
                <w:sz w:val="22"/>
                <w:szCs w:val="22"/>
              </w:rPr>
            </w:pPr>
            <w:r>
              <w:rPr>
                <w:sz w:val="22"/>
                <w:szCs w:val="22"/>
              </w:rPr>
              <w:t>9.7</w:t>
            </w:r>
          </w:p>
        </w:tc>
      </w:tr>
      <w:tr w:rsidR="00AD0F63" w14:paraId="66DB2EA0" w14:textId="77777777" w:rsidTr="00AD0F63">
        <w:tc>
          <w:tcPr>
            <w:tcW w:w="3571" w:type="pct"/>
          </w:tcPr>
          <w:p w14:paraId="405B26AD" w14:textId="77777777" w:rsidR="00AD0F63" w:rsidRDefault="00AD0F63" w:rsidP="00AD0F63">
            <w:pPr>
              <w:rPr>
                <w:sz w:val="22"/>
                <w:szCs w:val="22"/>
              </w:rPr>
            </w:pPr>
            <w:r w:rsidRPr="004F218F">
              <w:rPr>
                <w:color w:val="000000"/>
                <w:kern w:val="24"/>
                <w:sz w:val="22"/>
                <w:szCs w:val="22"/>
              </w:rPr>
              <w:t>Waste Disposal</w:t>
            </w:r>
            <w:r>
              <w:rPr>
                <w:color w:val="000000"/>
                <w:kern w:val="24"/>
                <w:sz w:val="22"/>
                <w:szCs w:val="22"/>
              </w:rPr>
              <w:t xml:space="preserve"> Locations</w:t>
            </w:r>
          </w:p>
        </w:tc>
        <w:tc>
          <w:tcPr>
            <w:tcW w:w="1429" w:type="pct"/>
          </w:tcPr>
          <w:p w14:paraId="03E798BD" w14:textId="77777777" w:rsidR="00AD0F63" w:rsidRDefault="00AD0F63" w:rsidP="00AD0F63">
            <w:pPr>
              <w:jc w:val="center"/>
              <w:rPr>
                <w:sz w:val="22"/>
                <w:szCs w:val="22"/>
              </w:rPr>
            </w:pPr>
            <w:r>
              <w:rPr>
                <w:sz w:val="22"/>
                <w:szCs w:val="22"/>
              </w:rPr>
              <w:t>6.5</w:t>
            </w:r>
          </w:p>
        </w:tc>
      </w:tr>
      <w:tr w:rsidR="00AD0F63" w14:paraId="5124F050" w14:textId="77777777" w:rsidTr="00AD0F63">
        <w:tc>
          <w:tcPr>
            <w:tcW w:w="3571" w:type="pct"/>
          </w:tcPr>
          <w:p w14:paraId="01989129" w14:textId="77777777" w:rsidR="00AD0F63" w:rsidRPr="004F218F" w:rsidRDefault="00AD0F63" w:rsidP="00AD0F63">
            <w:pPr>
              <w:rPr>
                <w:color w:val="000000"/>
                <w:kern w:val="24"/>
                <w:sz w:val="22"/>
                <w:szCs w:val="22"/>
              </w:rPr>
            </w:pPr>
            <w:r>
              <w:rPr>
                <w:color w:val="000000"/>
                <w:kern w:val="24"/>
                <w:sz w:val="22"/>
                <w:szCs w:val="22"/>
              </w:rPr>
              <w:t>Health data</w:t>
            </w:r>
          </w:p>
        </w:tc>
        <w:tc>
          <w:tcPr>
            <w:tcW w:w="1429" w:type="pct"/>
          </w:tcPr>
          <w:p w14:paraId="55058DFC" w14:textId="77777777" w:rsidR="00AD0F63" w:rsidRDefault="00AD0F63" w:rsidP="00AD0F63">
            <w:pPr>
              <w:jc w:val="center"/>
              <w:rPr>
                <w:sz w:val="22"/>
                <w:szCs w:val="22"/>
              </w:rPr>
            </w:pPr>
            <w:r>
              <w:rPr>
                <w:sz w:val="22"/>
                <w:szCs w:val="22"/>
              </w:rPr>
              <w:t>3.2</w:t>
            </w:r>
          </w:p>
        </w:tc>
      </w:tr>
      <w:tr w:rsidR="00AD0F63" w14:paraId="683572F6" w14:textId="77777777" w:rsidTr="00AD0F63">
        <w:tc>
          <w:tcPr>
            <w:tcW w:w="3571" w:type="pct"/>
          </w:tcPr>
          <w:p w14:paraId="1124045B" w14:textId="77777777" w:rsidR="00AD0F63" w:rsidRDefault="00AD0F63" w:rsidP="00AD0F63">
            <w:pPr>
              <w:rPr>
                <w:color w:val="000000"/>
                <w:kern w:val="24"/>
                <w:sz w:val="22"/>
                <w:szCs w:val="22"/>
              </w:rPr>
            </w:pPr>
            <w:r>
              <w:rPr>
                <w:color w:val="000000"/>
                <w:kern w:val="24"/>
                <w:sz w:val="22"/>
                <w:szCs w:val="22"/>
              </w:rPr>
              <w:t>Other (Do not use geospatial data)</w:t>
            </w:r>
          </w:p>
        </w:tc>
        <w:tc>
          <w:tcPr>
            <w:tcW w:w="1429" w:type="pct"/>
          </w:tcPr>
          <w:p w14:paraId="2DC7E1FD" w14:textId="77777777" w:rsidR="00AD0F63" w:rsidRDefault="00AD0F63" w:rsidP="00AD0F63">
            <w:pPr>
              <w:jc w:val="center"/>
              <w:rPr>
                <w:sz w:val="22"/>
                <w:szCs w:val="22"/>
              </w:rPr>
            </w:pPr>
            <w:r>
              <w:rPr>
                <w:sz w:val="22"/>
                <w:szCs w:val="22"/>
              </w:rPr>
              <w:t>32.3</w:t>
            </w:r>
          </w:p>
        </w:tc>
      </w:tr>
    </w:tbl>
    <w:p w14:paraId="65882F37" w14:textId="77777777" w:rsidR="00AD0F63" w:rsidRPr="00605080" w:rsidRDefault="00AD0F63" w:rsidP="00AD0F63">
      <w:pPr>
        <w:rPr>
          <w:sz w:val="8"/>
          <w:szCs w:val="8"/>
        </w:rPr>
      </w:pPr>
    </w:p>
    <w:p w14:paraId="1DC3C917" w14:textId="1288DA38" w:rsidR="00605080" w:rsidRPr="00605080" w:rsidRDefault="00605080" w:rsidP="00605080">
      <w:pPr>
        <w:jc w:val="center"/>
        <w:rPr>
          <w:b/>
          <w:sz w:val="22"/>
          <w:szCs w:val="22"/>
        </w:rPr>
      </w:pPr>
      <w:r w:rsidRPr="00605080">
        <w:rPr>
          <w:b/>
          <w:sz w:val="22"/>
          <w:szCs w:val="22"/>
        </w:rPr>
        <w:t>Table 1. Data Requirements and Potential Use in Local Decision Making</w:t>
      </w:r>
    </w:p>
    <w:p w14:paraId="7B0649B3" w14:textId="77777777" w:rsidR="00605080" w:rsidRDefault="00605080" w:rsidP="00AD0F63">
      <w:pPr>
        <w:rPr>
          <w:sz w:val="22"/>
          <w:szCs w:val="22"/>
        </w:rPr>
      </w:pPr>
    </w:p>
    <w:p w14:paraId="784DF902" w14:textId="77777777" w:rsidR="005C2DE9" w:rsidRDefault="005C2DE9" w:rsidP="00AD0F63">
      <w:pPr>
        <w:rPr>
          <w:sz w:val="22"/>
          <w:szCs w:val="22"/>
        </w:rPr>
      </w:pPr>
    </w:p>
    <w:p w14:paraId="319D727A" w14:textId="48F0C27A" w:rsidR="003343A4" w:rsidRPr="00216BCF" w:rsidRDefault="00E21188" w:rsidP="003343A4">
      <w:pPr>
        <w:rPr>
          <w:sz w:val="22"/>
          <w:szCs w:val="22"/>
          <w:u w:val="single"/>
        </w:rPr>
      </w:pPr>
      <w:r>
        <w:rPr>
          <w:sz w:val="22"/>
          <w:szCs w:val="22"/>
          <w:u w:val="single"/>
        </w:rPr>
        <w:t xml:space="preserve">Information System </w:t>
      </w:r>
      <w:r w:rsidR="003343A4" w:rsidRPr="00216BCF">
        <w:rPr>
          <w:sz w:val="22"/>
          <w:szCs w:val="22"/>
          <w:u w:val="single"/>
        </w:rPr>
        <w:t>Access Requirements</w:t>
      </w:r>
    </w:p>
    <w:p w14:paraId="7BD80205" w14:textId="77777777" w:rsidR="00143128" w:rsidRPr="00143128" w:rsidRDefault="00143128" w:rsidP="00143128">
      <w:pPr>
        <w:rPr>
          <w:sz w:val="16"/>
          <w:szCs w:val="16"/>
          <w:lang w:eastAsia="ja-JP"/>
        </w:rPr>
      </w:pPr>
    </w:p>
    <w:p w14:paraId="52BB63A3" w14:textId="77777777" w:rsidR="003343A4" w:rsidRDefault="003343A4" w:rsidP="003343A4">
      <w:pPr>
        <w:rPr>
          <w:sz w:val="22"/>
          <w:szCs w:val="22"/>
        </w:rPr>
      </w:pPr>
      <w:r>
        <w:rPr>
          <w:sz w:val="22"/>
          <w:szCs w:val="22"/>
        </w:rPr>
        <w:t>All survey respondents indicated that their organizations had access to the Internet and more than 80% indicated that their organization maintained a website that provided public access to information that is used in the decision making process. Of those websites identified, only 25% provide data to all stakeholders potentially affected by local decisions. Most communities cannot afford to provide capital investment and sustaining funding to maintain an active GIS. Approximately 22% of survey respondents indicated that their organizations had some form of GIS capability, usually ArcGIS, ArcMap, or Google Maps. Some communities provide only static maps online and some communities subcontract their GIS capabilities to outside vendors.</w:t>
      </w:r>
    </w:p>
    <w:p w14:paraId="28D26710" w14:textId="77777777" w:rsidR="00143128" w:rsidRPr="00143128" w:rsidRDefault="00143128" w:rsidP="00143128">
      <w:pPr>
        <w:rPr>
          <w:sz w:val="16"/>
          <w:szCs w:val="16"/>
          <w:lang w:eastAsia="ja-JP"/>
        </w:rPr>
      </w:pPr>
    </w:p>
    <w:p w14:paraId="2B52B406" w14:textId="77777777" w:rsidR="003343A4" w:rsidRDefault="003343A4" w:rsidP="003343A4">
      <w:pPr>
        <w:rPr>
          <w:sz w:val="22"/>
          <w:szCs w:val="22"/>
        </w:rPr>
      </w:pPr>
      <w:r>
        <w:rPr>
          <w:sz w:val="22"/>
          <w:szCs w:val="22"/>
        </w:rPr>
        <w:t xml:space="preserve">Interaction with stakeholders participating in the HIA1 Fair and Affordable Housing Plan and HIA2 Urban and Rural Service Management Policy, community representatives, and TCRPC project partners provided a set of functions that the </w:t>
      </w:r>
      <w:r w:rsidRPr="007D7EDF">
        <w:rPr>
          <w:sz w:val="22"/>
          <w:szCs w:val="22"/>
        </w:rPr>
        <w:t xml:space="preserve">fully operational version </w:t>
      </w:r>
      <w:r>
        <w:rPr>
          <w:sz w:val="22"/>
          <w:szCs w:val="22"/>
        </w:rPr>
        <w:t>Tool should provide. This includes</w:t>
      </w:r>
      <w:r w:rsidRPr="007D7EDF">
        <w:rPr>
          <w:sz w:val="22"/>
          <w:szCs w:val="22"/>
        </w:rPr>
        <w:t xml:space="preserve">: (a) </w:t>
      </w:r>
      <w:r>
        <w:rPr>
          <w:sz w:val="22"/>
          <w:szCs w:val="22"/>
        </w:rPr>
        <w:t xml:space="preserve">links to </w:t>
      </w:r>
      <w:r w:rsidRPr="007D7EDF">
        <w:rPr>
          <w:sz w:val="22"/>
          <w:szCs w:val="22"/>
        </w:rPr>
        <w:t xml:space="preserve">measurable community health indicators and community goals for healthy community design; (b) </w:t>
      </w:r>
      <w:r>
        <w:rPr>
          <w:sz w:val="22"/>
          <w:szCs w:val="22"/>
        </w:rPr>
        <w:t xml:space="preserve">ability to </w:t>
      </w:r>
      <w:r w:rsidRPr="007D7EDF">
        <w:rPr>
          <w:sz w:val="22"/>
          <w:szCs w:val="22"/>
        </w:rPr>
        <w:t xml:space="preserve">identify and locate at-risk populations and potential environmental risks; (c) </w:t>
      </w:r>
      <w:r>
        <w:rPr>
          <w:sz w:val="22"/>
          <w:szCs w:val="22"/>
        </w:rPr>
        <w:t>additional</w:t>
      </w:r>
      <w:r w:rsidRPr="007D7EDF">
        <w:rPr>
          <w:sz w:val="22"/>
          <w:szCs w:val="22"/>
        </w:rPr>
        <w:t xml:space="preserve"> links to online resources, best practices, HIA practitioners, government and private sector entities using HIAs, and other resources as appropriate; (d) links to projects that have used the toolkit</w:t>
      </w:r>
      <w:r>
        <w:rPr>
          <w:sz w:val="22"/>
          <w:szCs w:val="22"/>
        </w:rPr>
        <w:t>, initially focusing on HIA1 and HIA2 cas</w:t>
      </w:r>
      <w:r w:rsidRPr="007D7EDF">
        <w:rPr>
          <w:sz w:val="22"/>
          <w:szCs w:val="22"/>
        </w:rPr>
        <w:t xml:space="preserve">e studies; and (e) documentation that will facilitate adaptation of the online toolkit by other jurisdictions. </w:t>
      </w:r>
    </w:p>
    <w:p w14:paraId="2AC8A45C" w14:textId="77777777" w:rsidR="00143128" w:rsidRPr="00143128" w:rsidRDefault="00143128" w:rsidP="00143128">
      <w:pPr>
        <w:rPr>
          <w:sz w:val="16"/>
          <w:szCs w:val="16"/>
          <w:lang w:eastAsia="ja-JP"/>
        </w:rPr>
      </w:pPr>
    </w:p>
    <w:p w14:paraId="4749B0C4" w14:textId="35CD8647" w:rsidR="003343A4" w:rsidRPr="003343A4" w:rsidRDefault="003343A4" w:rsidP="003343A4">
      <w:pPr>
        <w:rPr>
          <w:sz w:val="22"/>
          <w:szCs w:val="22"/>
          <w:u w:val="single"/>
        </w:rPr>
      </w:pPr>
      <w:r w:rsidRPr="003343A4">
        <w:rPr>
          <w:sz w:val="22"/>
          <w:szCs w:val="22"/>
          <w:u w:val="single"/>
        </w:rPr>
        <w:t xml:space="preserve">Mapping and Analysis </w:t>
      </w:r>
      <w:r w:rsidR="00F34850">
        <w:rPr>
          <w:sz w:val="22"/>
          <w:szCs w:val="22"/>
          <w:u w:val="single"/>
        </w:rPr>
        <w:t>Requirements</w:t>
      </w:r>
    </w:p>
    <w:p w14:paraId="6E562533" w14:textId="77777777" w:rsidR="00143128" w:rsidRPr="00143128" w:rsidRDefault="00143128" w:rsidP="00143128">
      <w:pPr>
        <w:rPr>
          <w:sz w:val="16"/>
          <w:szCs w:val="16"/>
          <w:lang w:eastAsia="ja-JP"/>
        </w:rPr>
      </w:pPr>
    </w:p>
    <w:p w14:paraId="249F7215" w14:textId="77777777" w:rsidR="003343A4" w:rsidRDefault="003343A4" w:rsidP="003343A4">
      <w:pPr>
        <w:rPr>
          <w:sz w:val="22"/>
          <w:szCs w:val="22"/>
        </w:rPr>
      </w:pPr>
      <w:r>
        <w:rPr>
          <w:sz w:val="22"/>
          <w:szCs w:val="22"/>
        </w:rPr>
        <w:t xml:space="preserve">Since nearly all data used in local planning related to land use and impact assessment has a geospatial or locational attribute, we decided to include a GIS functional component to the Tool. Simply providing access to data without the ability to determine the importance or context of data and information will not necessarily lead to more detailed and timely assessment of impacts of a proposed project or better decisions. Adding a GIS capability would provide the ability to map and visualize information about a location, as well as some ability to manipulate data to provide additional information about a project. </w:t>
      </w:r>
    </w:p>
    <w:p w14:paraId="79DE162D" w14:textId="77777777" w:rsidR="00143128" w:rsidRPr="00143128" w:rsidRDefault="00143128" w:rsidP="00143128">
      <w:pPr>
        <w:rPr>
          <w:sz w:val="16"/>
          <w:szCs w:val="16"/>
          <w:lang w:eastAsia="ja-JP"/>
        </w:rPr>
      </w:pPr>
    </w:p>
    <w:p w14:paraId="6D571677" w14:textId="2EEF6293" w:rsidR="00567459" w:rsidRDefault="00876B34" w:rsidP="00567459">
      <w:pPr>
        <w:rPr>
          <w:sz w:val="22"/>
          <w:szCs w:val="22"/>
        </w:rPr>
      </w:pPr>
      <w:r>
        <w:rPr>
          <w:sz w:val="22"/>
          <w:szCs w:val="22"/>
        </w:rPr>
        <w:t xml:space="preserve">When asked whether the local government, businesses, or other organizations provide access to this information, only about a third of respondents indicated that </w:t>
      </w:r>
      <w:r w:rsidR="00567459">
        <w:rPr>
          <w:sz w:val="22"/>
          <w:szCs w:val="22"/>
        </w:rPr>
        <w:t>such data were available</w:t>
      </w:r>
      <w:r>
        <w:rPr>
          <w:sz w:val="22"/>
          <w:szCs w:val="22"/>
        </w:rPr>
        <w:t xml:space="preserve">. </w:t>
      </w:r>
      <w:r w:rsidR="00567459">
        <w:rPr>
          <w:sz w:val="22"/>
          <w:szCs w:val="22"/>
        </w:rPr>
        <w:t>To determine what communities provided online access to geospatial data in a mapping/visualization format, a review of county and local government websites was conducted. Results of the review are as follows:</w:t>
      </w:r>
    </w:p>
    <w:p w14:paraId="5805B7E7" w14:textId="77777777" w:rsidR="00143128" w:rsidRPr="00143128" w:rsidRDefault="00143128" w:rsidP="00143128">
      <w:pPr>
        <w:rPr>
          <w:sz w:val="16"/>
          <w:szCs w:val="16"/>
          <w:lang w:eastAsia="ja-JP"/>
        </w:rPr>
      </w:pPr>
    </w:p>
    <w:p w14:paraId="30A56357" w14:textId="4649F469" w:rsidR="00567459" w:rsidRDefault="00567459" w:rsidP="00567459">
      <w:pPr>
        <w:rPr>
          <w:sz w:val="22"/>
          <w:szCs w:val="22"/>
        </w:rPr>
      </w:pPr>
      <w:r>
        <w:rPr>
          <w:sz w:val="22"/>
          <w:szCs w:val="22"/>
        </w:rPr>
        <w:t>Clinton County GIS</w:t>
      </w:r>
      <w:r w:rsidR="004271B2">
        <w:rPr>
          <w:sz w:val="22"/>
          <w:szCs w:val="22"/>
        </w:rPr>
        <w:t xml:space="preserve"> ( </w:t>
      </w:r>
      <w:hyperlink r:id="rId8" w:history="1">
        <w:r w:rsidR="004271B2" w:rsidRPr="00344709">
          <w:rPr>
            <w:rStyle w:val="Hyperlink"/>
            <w:sz w:val="22"/>
            <w:szCs w:val="22"/>
          </w:rPr>
          <w:t>http://www.clinton-county.org/Departments/MISGIS.aspx</w:t>
        </w:r>
      </w:hyperlink>
      <w:r w:rsidR="004271B2">
        <w:rPr>
          <w:sz w:val="22"/>
          <w:szCs w:val="22"/>
        </w:rPr>
        <w:t xml:space="preserve"> )</w:t>
      </w:r>
      <w:r>
        <w:rPr>
          <w:sz w:val="22"/>
          <w:szCs w:val="22"/>
        </w:rPr>
        <w:t>:</w:t>
      </w:r>
      <w:r w:rsidR="004271B2">
        <w:rPr>
          <w:sz w:val="22"/>
          <w:szCs w:val="22"/>
        </w:rPr>
        <w:t xml:space="preserve"> Aerial photos, base map, parcel boundaries, section lines, school districts, zip codes, water features, railroads, roads, emergency management services, and fire stations. Bath Charter Township provides access to zoning districts. The City of Dewitt provides access to parcels, zoning districts and watershed boundaries.</w:t>
      </w:r>
    </w:p>
    <w:p w14:paraId="6E6D06FC" w14:textId="77777777" w:rsidR="00143128" w:rsidRPr="00143128" w:rsidRDefault="00143128" w:rsidP="00143128">
      <w:pPr>
        <w:rPr>
          <w:sz w:val="16"/>
          <w:szCs w:val="16"/>
          <w:lang w:eastAsia="ja-JP"/>
        </w:rPr>
      </w:pPr>
    </w:p>
    <w:p w14:paraId="0953DD33" w14:textId="116E9F49" w:rsidR="004271B2" w:rsidRDefault="004271B2" w:rsidP="00567459">
      <w:pPr>
        <w:rPr>
          <w:sz w:val="22"/>
          <w:szCs w:val="22"/>
        </w:rPr>
      </w:pPr>
      <w:r>
        <w:rPr>
          <w:sz w:val="22"/>
          <w:szCs w:val="22"/>
        </w:rPr>
        <w:t>Eaton County GIS (</w:t>
      </w:r>
      <w:r w:rsidR="00874D05">
        <w:rPr>
          <w:sz w:val="22"/>
          <w:szCs w:val="22"/>
        </w:rPr>
        <w:t xml:space="preserve"> </w:t>
      </w:r>
      <w:hyperlink r:id="rId9" w:history="1">
        <w:r w:rsidR="00874D05" w:rsidRPr="00344709">
          <w:rPr>
            <w:rStyle w:val="Hyperlink"/>
            <w:sz w:val="22"/>
            <w:szCs w:val="22"/>
          </w:rPr>
          <w:t>http://www.eatoncounty.org/departments/information-systems/gis</w:t>
        </w:r>
      </w:hyperlink>
      <w:r w:rsidR="00874D05">
        <w:rPr>
          <w:sz w:val="22"/>
          <w:szCs w:val="22"/>
        </w:rPr>
        <w:t xml:space="preserve"> </w:t>
      </w:r>
      <w:r>
        <w:rPr>
          <w:sz w:val="22"/>
          <w:szCs w:val="22"/>
        </w:rPr>
        <w:t xml:space="preserve">): </w:t>
      </w:r>
      <w:r w:rsidR="00874D05">
        <w:rPr>
          <w:sz w:val="22"/>
          <w:szCs w:val="22"/>
        </w:rPr>
        <w:t>Aerial photos, base map, parcel boundaries, section lines, cell towers, school districts, zip codes, contours, 500-foot water buffers, watersheds, water features, railroads, roads, soils</w:t>
      </w:r>
      <w:r w:rsidR="002A5B18">
        <w:rPr>
          <w:sz w:val="22"/>
          <w:szCs w:val="22"/>
        </w:rPr>
        <w:t>, e</w:t>
      </w:r>
      <w:r w:rsidR="00874D05">
        <w:rPr>
          <w:sz w:val="22"/>
          <w:szCs w:val="22"/>
        </w:rPr>
        <w:t>mergency</w:t>
      </w:r>
      <w:r w:rsidR="002A5B18">
        <w:rPr>
          <w:sz w:val="22"/>
          <w:szCs w:val="22"/>
        </w:rPr>
        <w:t xml:space="preserve"> </w:t>
      </w:r>
      <w:r w:rsidR="00874D05">
        <w:rPr>
          <w:sz w:val="22"/>
          <w:szCs w:val="22"/>
        </w:rPr>
        <w:t xml:space="preserve"> management services, fire stations, and road and drain centerlines. Delta Charter Township provides access to aerial photos, base map, parcel boundaries,</w:t>
      </w:r>
      <w:r w:rsidR="00874D05" w:rsidRPr="00874D05">
        <w:rPr>
          <w:sz w:val="22"/>
          <w:szCs w:val="22"/>
        </w:rPr>
        <w:t xml:space="preserve"> </w:t>
      </w:r>
      <w:r w:rsidR="00874D05">
        <w:rPr>
          <w:sz w:val="22"/>
          <w:szCs w:val="22"/>
        </w:rPr>
        <w:t>water features, railroads, roads, soils, economic development sites, and parks.</w:t>
      </w:r>
    </w:p>
    <w:p w14:paraId="67B1EB3A" w14:textId="77777777" w:rsidR="00143128" w:rsidRPr="00143128" w:rsidRDefault="00143128" w:rsidP="00143128">
      <w:pPr>
        <w:rPr>
          <w:sz w:val="16"/>
          <w:szCs w:val="16"/>
          <w:lang w:eastAsia="ja-JP"/>
        </w:rPr>
      </w:pPr>
    </w:p>
    <w:p w14:paraId="7BE8F009" w14:textId="77777777" w:rsidR="00B22918" w:rsidRDefault="004271B2" w:rsidP="00567459">
      <w:pPr>
        <w:rPr>
          <w:sz w:val="22"/>
          <w:szCs w:val="22"/>
        </w:rPr>
      </w:pPr>
      <w:r>
        <w:rPr>
          <w:sz w:val="22"/>
          <w:szCs w:val="22"/>
        </w:rPr>
        <w:t>Ingham County</w:t>
      </w:r>
      <w:r w:rsidR="00B22918">
        <w:rPr>
          <w:sz w:val="22"/>
          <w:szCs w:val="22"/>
        </w:rPr>
        <w:t xml:space="preserve"> Health Department, Bureau of Environmental Health Mapper </w:t>
      </w:r>
    </w:p>
    <w:p w14:paraId="1F82E14F" w14:textId="4BF33B02" w:rsidR="008403CA" w:rsidRPr="007D7EDF" w:rsidRDefault="00B22918" w:rsidP="00895E03">
      <w:pPr>
        <w:rPr>
          <w:sz w:val="22"/>
          <w:szCs w:val="22"/>
        </w:rPr>
      </w:pPr>
      <w:r>
        <w:rPr>
          <w:sz w:val="22"/>
          <w:szCs w:val="22"/>
        </w:rPr>
        <w:t xml:space="preserve">( </w:t>
      </w:r>
      <w:hyperlink r:id="rId10" w:history="1">
        <w:r w:rsidRPr="00344709">
          <w:rPr>
            <w:rStyle w:val="Hyperlink"/>
            <w:sz w:val="22"/>
            <w:szCs w:val="22"/>
          </w:rPr>
          <w:t>http://hdgis.ingham.org/ICHD/Map.aspx</w:t>
        </w:r>
      </w:hyperlink>
      <w:r>
        <w:rPr>
          <w:sz w:val="22"/>
          <w:szCs w:val="22"/>
        </w:rPr>
        <w:t xml:space="preserve"> ): </w:t>
      </w:r>
      <w:r w:rsidR="002A5B18">
        <w:rPr>
          <w:sz w:val="22"/>
          <w:szCs w:val="22"/>
        </w:rPr>
        <w:t xml:space="preserve">Aerial photos, base map, parcel boundaries, section lines, government boundaries, well data, wellhead protection zones, water features, restaurants, railroads, roads, and pollution prevention sites. The cities or villages of Lansing, East Lansing, Williamston, Mason, and Stockbridge </w:t>
      </w:r>
      <w:r w:rsidR="00252F7A">
        <w:rPr>
          <w:sz w:val="22"/>
          <w:szCs w:val="22"/>
        </w:rPr>
        <w:t xml:space="preserve">and the Charter Townships of Meridian and Delhi generally </w:t>
      </w:r>
      <w:r w:rsidR="002A5B18">
        <w:rPr>
          <w:sz w:val="22"/>
          <w:szCs w:val="22"/>
        </w:rPr>
        <w:t>pro</w:t>
      </w:r>
      <w:r w:rsidR="00252F7A">
        <w:rPr>
          <w:sz w:val="22"/>
          <w:szCs w:val="22"/>
        </w:rPr>
        <w:t>vide access to zoning districts and</w:t>
      </w:r>
      <w:r w:rsidR="002A5B18">
        <w:rPr>
          <w:sz w:val="22"/>
          <w:szCs w:val="22"/>
        </w:rPr>
        <w:t xml:space="preserve"> land use</w:t>
      </w:r>
      <w:r w:rsidR="00252F7A">
        <w:rPr>
          <w:sz w:val="22"/>
          <w:szCs w:val="22"/>
        </w:rPr>
        <w:t>. Lansing includes infrastructure, parks, historic districts, economic development zones, water features, and flood zones.</w:t>
      </w:r>
    </w:p>
    <w:p w14:paraId="2F9A0FAD" w14:textId="77777777" w:rsidR="00143128" w:rsidRPr="00143128" w:rsidRDefault="00143128" w:rsidP="00143128">
      <w:pPr>
        <w:rPr>
          <w:sz w:val="16"/>
          <w:szCs w:val="16"/>
          <w:lang w:eastAsia="ja-JP"/>
        </w:rPr>
      </w:pPr>
    </w:p>
    <w:p w14:paraId="4F52FA65" w14:textId="70C8EA42" w:rsidR="00B929BC" w:rsidRDefault="00B929BC" w:rsidP="00895E03">
      <w:pPr>
        <w:rPr>
          <w:sz w:val="22"/>
          <w:szCs w:val="22"/>
        </w:rPr>
      </w:pPr>
      <w:r>
        <w:rPr>
          <w:sz w:val="22"/>
          <w:szCs w:val="22"/>
        </w:rPr>
        <w:t xml:space="preserve">Overall, two of the three counties – Clinton and Eaton – maintain a countywide GIS. The Ingham County Environmental Health Mapper provides somewhat comparable data, but a more comprehensive and useful user interface. </w:t>
      </w:r>
      <w:r w:rsidR="00A623F0">
        <w:rPr>
          <w:sz w:val="22"/>
          <w:szCs w:val="22"/>
        </w:rPr>
        <w:t xml:space="preserve">Of the 48 townships in the Capital Region, only six provide some mapping capability and of the 28 cities and villages, seven provide some mapping capability. </w:t>
      </w:r>
      <w:r w:rsidR="00F91A02">
        <w:rPr>
          <w:sz w:val="22"/>
          <w:szCs w:val="22"/>
        </w:rPr>
        <w:t>When asked to rate their GIS capability, approximately 10% indicated that their GIS met both current and future needs. Approximately 22% indicated that the GIS would meet present and future needs only with significant upgrades in equipment, software, data, and training. The balance of the respondents did not have a local GIS capability.</w:t>
      </w:r>
    </w:p>
    <w:p w14:paraId="44582023" w14:textId="77777777" w:rsidR="00143128" w:rsidRPr="00143128" w:rsidRDefault="00143128" w:rsidP="00143128">
      <w:pPr>
        <w:rPr>
          <w:sz w:val="16"/>
          <w:szCs w:val="16"/>
          <w:lang w:eastAsia="ja-JP"/>
        </w:rPr>
      </w:pPr>
    </w:p>
    <w:p w14:paraId="3D5CD6B3" w14:textId="1572B3D8" w:rsidR="00B929BC" w:rsidRDefault="00F91A02" w:rsidP="00895E03">
      <w:pPr>
        <w:rPr>
          <w:sz w:val="22"/>
          <w:szCs w:val="22"/>
        </w:rPr>
      </w:pPr>
      <w:r>
        <w:rPr>
          <w:sz w:val="22"/>
          <w:szCs w:val="22"/>
        </w:rPr>
        <w:t>When asked i</w:t>
      </w:r>
      <w:r w:rsidRPr="00C5770A">
        <w:rPr>
          <w:sz w:val="22"/>
          <w:szCs w:val="22"/>
        </w:rPr>
        <w:t xml:space="preserve">f a free GIS-based mapping and impact assessment tool was available on line, providing access to the data listed above and the health impact assessment checklist, would </w:t>
      </w:r>
      <w:r>
        <w:rPr>
          <w:sz w:val="22"/>
          <w:szCs w:val="22"/>
        </w:rPr>
        <w:t>their</w:t>
      </w:r>
      <w:r w:rsidRPr="00C5770A">
        <w:rPr>
          <w:sz w:val="22"/>
          <w:szCs w:val="22"/>
        </w:rPr>
        <w:t xml:space="preserve"> local government, business, or other organization be interested in using this tool in its decision-making process</w:t>
      </w:r>
      <w:r>
        <w:rPr>
          <w:sz w:val="22"/>
          <w:szCs w:val="22"/>
        </w:rPr>
        <w:t xml:space="preserve">, more than 93% </w:t>
      </w:r>
      <w:r w:rsidR="00591A0E">
        <w:rPr>
          <w:sz w:val="22"/>
          <w:szCs w:val="22"/>
        </w:rPr>
        <w:t xml:space="preserve">said yes. </w:t>
      </w:r>
      <w:r w:rsidR="002C011E">
        <w:rPr>
          <w:sz w:val="22"/>
          <w:szCs w:val="22"/>
        </w:rPr>
        <w:t xml:space="preserve">Column 1 in </w:t>
      </w:r>
      <w:r w:rsidR="00886C92">
        <w:rPr>
          <w:sz w:val="22"/>
          <w:szCs w:val="22"/>
        </w:rPr>
        <w:t xml:space="preserve">Table </w:t>
      </w:r>
      <w:r w:rsidR="003343A4">
        <w:rPr>
          <w:sz w:val="22"/>
          <w:szCs w:val="22"/>
        </w:rPr>
        <w:t>2</w:t>
      </w:r>
      <w:r w:rsidR="00886C92">
        <w:rPr>
          <w:sz w:val="22"/>
          <w:szCs w:val="22"/>
        </w:rPr>
        <w:t xml:space="preserve"> </w:t>
      </w:r>
      <w:r w:rsidR="002C011E">
        <w:rPr>
          <w:sz w:val="22"/>
          <w:szCs w:val="22"/>
        </w:rPr>
        <w:t xml:space="preserve">shows the types of land-use decisions that typically use geospatial information resources based on survey results. Survey respondents indicate the </w:t>
      </w:r>
      <w:r w:rsidR="00886C92">
        <w:rPr>
          <w:sz w:val="22"/>
          <w:szCs w:val="22"/>
        </w:rPr>
        <w:t xml:space="preserve">applications a community GIS is currently being used </w:t>
      </w:r>
      <w:r w:rsidR="002C011E">
        <w:rPr>
          <w:sz w:val="22"/>
          <w:szCs w:val="22"/>
        </w:rPr>
        <w:t xml:space="preserve">(Column 2) </w:t>
      </w:r>
      <w:r w:rsidR="00886C92">
        <w:rPr>
          <w:sz w:val="22"/>
          <w:szCs w:val="22"/>
        </w:rPr>
        <w:t xml:space="preserve">and might </w:t>
      </w:r>
      <w:r w:rsidR="002C011E">
        <w:rPr>
          <w:sz w:val="22"/>
          <w:szCs w:val="22"/>
        </w:rPr>
        <w:t>use</w:t>
      </w:r>
      <w:r w:rsidR="00886C92">
        <w:rPr>
          <w:sz w:val="22"/>
          <w:szCs w:val="22"/>
        </w:rPr>
        <w:t xml:space="preserve"> if a free toolkit </w:t>
      </w:r>
      <w:r w:rsidR="006441FC">
        <w:rPr>
          <w:sz w:val="22"/>
          <w:szCs w:val="22"/>
        </w:rPr>
        <w:t>wa</w:t>
      </w:r>
      <w:r w:rsidR="00886C92">
        <w:rPr>
          <w:sz w:val="22"/>
          <w:szCs w:val="22"/>
        </w:rPr>
        <w:t>s available on-line</w:t>
      </w:r>
      <w:r w:rsidR="002C011E">
        <w:rPr>
          <w:sz w:val="22"/>
          <w:szCs w:val="22"/>
        </w:rPr>
        <w:t xml:space="preserve"> (Column 3)</w:t>
      </w:r>
      <w:r w:rsidR="00886C92">
        <w:rPr>
          <w:sz w:val="22"/>
          <w:szCs w:val="22"/>
        </w:rPr>
        <w:t>.</w:t>
      </w:r>
    </w:p>
    <w:p w14:paraId="4279DA48" w14:textId="77777777" w:rsidR="003343A4" w:rsidRDefault="003343A4" w:rsidP="00AD0F63">
      <w:pPr>
        <w:rPr>
          <w:sz w:val="22"/>
          <w:szCs w:val="22"/>
        </w:rPr>
      </w:pPr>
    </w:p>
    <w:p w14:paraId="3835BB59" w14:textId="77777777" w:rsidR="00143128" w:rsidRDefault="00143128" w:rsidP="00AD0F63">
      <w:pPr>
        <w:rPr>
          <w:sz w:val="22"/>
          <w:szCs w:val="22"/>
        </w:rPr>
      </w:pPr>
    </w:p>
    <w:tbl>
      <w:tblPr>
        <w:tblStyle w:val="TableGrid"/>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320"/>
        <w:gridCol w:w="2128"/>
        <w:gridCol w:w="2128"/>
      </w:tblGrid>
      <w:tr w:rsidR="00BA3349" w:rsidRPr="005516BA" w14:paraId="609E8749" w14:textId="67F5C650" w:rsidTr="00BA3349">
        <w:tc>
          <w:tcPr>
            <w:tcW w:w="2778" w:type="pct"/>
            <w:tcBorders>
              <w:top w:val="single" w:sz="18" w:space="0" w:color="auto"/>
              <w:bottom w:val="double" w:sz="4" w:space="0" w:color="auto"/>
            </w:tcBorders>
            <w:vAlign w:val="center"/>
          </w:tcPr>
          <w:p w14:paraId="243B798A" w14:textId="2A009E34" w:rsidR="00BA3349" w:rsidRPr="005516BA" w:rsidRDefault="00BA3349" w:rsidP="00AD0F63">
            <w:pPr>
              <w:jc w:val="center"/>
              <w:rPr>
                <w:b/>
                <w:sz w:val="22"/>
                <w:szCs w:val="22"/>
              </w:rPr>
            </w:pPr>
            <w:r>
              <w:rPr>
                <w:b/>
                <w:sz w:val="22"/>
                <w:szCs w:val="22"/>
              </w:rPr>
              <w:t>Local Decision Making</w:t>
            </w:r>
            <w:r w:rsidR="002C70FB">
              <w:rPr>
                <w:b/>
                <w:sz w:val="22"/>
                <w:szCs w:val="22"/>
              </w:rPr>
              <w:t xml:space="preserve"> Using Geospatial Data/Information Resources</w:t>
            </w:r>
          </w:p>
        </w:tc>
        <w:tc>
          <w:tcPr>
            <w:tcW w:w="1111" w:type="pct"/>
            <w:tcBorders>
              <w:top w:val="single" w:sz="18" w:space="0" w:color="auto"/>
              <w:bottom w:val="double" w:sz="4" w:space="0" w:color="auto"/>
            </w:tcBorders>
            <w:vAlign w:val="center"/>
          </w:tcPr>
          <w:p w14:paraId="0E57FD56" w14:textId="73F34E21" w:rsidR="00BA3349" w:rsidRPr="005516BA" w:rsidRDefault="00ED0A87" w:rsidP="002C70FB">
            <w:pPr>
              <w:jc w:val="center"/>
              <w:rPr>
                <w:b/>
                <w:sz w:val="22"/>
                <w:szCs w:val="22"/>
              </w:rPr>
            </w:pPr>
            <w:r>
              <w:rPr>
                <w:b/>
                <w:sz w:val="22"/>
                <w:szCs w:val="22"/>
              </w:rPr>
              <w:t>Current</w:t>
            </w:r>
            <w:r w:rsidR="002C70FB">
              <w:rPr>
                <w:b/>
                <w:sz w:val="22"/>
                <w:szCs w:val="22"/>
              </w:rPr>
              <w:t>ly Being</w:t>
            </w:r>
            <w:r>
              <w:rPr>
                <w:b/>
                <w:sz w:val="22"/>
                <w:szCs w:val="22"/>
              </w:rPr>
              <w:t xml:space="preserve"> </w:t>
            </w:r>
            <w:r w:rsidR="002C70FB">
              <w:rPr>
                <w:b/>
                <w:sz w:val="22"/>
                <w:szCs w:val="22"/>
              </w:rPr>
              <w:t>Used</w:t>
            </w:r>
            <w:r w:rsidR="00BA3349">
              <w:rPr>
                <w:b/>
                <w:sz w:val="22"/>
                <w:szCs w:val="22"/>
              </w:rPr>
              <w:t xml:space="preserve"> (%)</w:t>
            </w:r>
          </w:p>
        </w:tc>
        <w:tc>
          <w:tcPr>
            <w:tcW w:w="1111" w:type="pct"/>
            <w:tcBorders>
              <w:top w:val="single" w:sz="18" w:space="0" w:color="auto"/>
              <w:bottom w:val="double" w:sz="4" w:space="0" w:color="auto"/>
            </w:tcBorders>
          </w:tcPr>
          <w:p w14:paraId="5AC5E678" w14:textId="0797453E" w:rsidR="00BA3349" w:rsidRDefault="002C70FB" w:rsidP="00876B34">
            <w:pPr>
              <w:jc w:val="center"/>
              <w:rPr>
                <w:b/>
                <w:sz w:val="22"/>
                <w:szCs w:val="22"/>
              </w:rPr>
            </w:pPr>
            <w:r>
              <w:rPr>
                <w:b/>
                <w:sz w:val="22"/>
                <w:szCs w:val="22"/>
              </w:rPr>
              <w:t xml:space="preserve">Would Use </w:t>
            </w:r>
            <w:r w:rsidR="00BA3349">
              <w:rPr>
                <w:b/>
                <w:sz w:val="22"/>
                <w:szCs w:val="22"/>
              </w:rPr>
              <w:t>If a Free On-Line Tool was Available (%)</w:t>
            </w:r>
          </w:p>
        </w:tc>
      </w:tr>
      <w:tr w:rsidR="00BA3349" w14:paraId="3ED11EAC" w14:textId="752769A6" w:rsidTr="00BA3349">
        <w:tc>
          <w:tcPr>
            <w:tcW w:w="2778" w:type="pct"/>
            <w:tcBorders>
              <w:top w:val="double" w:sz="4" w:space="0" w:color="auto"/>
            </w:tcBorders>
          </w:tcPr>
          <w:p w14:paraId="3CB8DA74" w14:textId="401307B2" w:rsidR="00BA3349" w:rsidRPr="00C85DA7" w:rsidRDefault="00BA3349" w:rsidP="00ED0A87">
            <w:pPr>
              <w:rPr>
                <w:sz w:val="22"/>
                <w:szCs w:val="22"/>
              </w:rPr>
            </w:pPr>
            <w:r w:rsidRPr="00876B34">
              <w:rPr>
                <w:sz w:val="22"/>
                <w:szCs w:val="22"/>
              </w:rPr>
              <w:t>Community planning</w:t>
            </w:r>
            <w:r w:rsidR="00ED0A87">
              <w:rPr>
                <w:sz w:val="22"/>
                <w:szCs w:val="22"/>
              </w:rPr>
              <w:t>,</w:t>
            </w:r>
            <w:r w:rsidRPr="00876B34">
              <w:rPr>
                <w:sz w:val="22"/>
                <w:szCs w:val="22"/>
              </w:rPr>
              <w:t xml:space="preserve"> permitting</w:t>
            </w:r>
            <w:r w:rsidR="00ED0A87">
              <w:rPr>
                <w:sz w:val="22"/>
                <w:szCs w:val="22"/>
              </w:rPr>
              <w:t xml:space="preserve">, and </w:t>
            </w:r>
            <w:r w:rsidR="001A056F">
              <w:rPr>
                <w:sz w:val="22"/>
                <w:szCs w:val="22"/>
              </w:rPr>
              <w:t>zoning</w:t>
            </w:r>
          </w:p>
        </w:tc>
        <w:tc>
          <w:tcPr>
            <w:tcW w:w="1111" w:type="pct"/>
            <w:tcBorders>
              <w:top w:val="double" w:sz="4" w:space="0" w:color="auto"/>
            </w:tcBorders>
          </w:tcPr>
          <w:p w14:paraId="1AA1734D" w14:textId="462EA314" w:rsidR="00BA3349" w:rsidRDefault="00BA3349" w:rsidP="00AD0F63">
            <w:pPr>
              <w:jc w:val="center"/>
              <w:rPr>
                <w:sz w:val="22"/>
                <w:szCs w:val="22"/>
              </w:rPr>
            </w:pPr>
            <w:r>
              <w:rPr>
                <w:sz w:val="22"/>
                <w:szCs w:val="22"/>
              </w:rPr>
              <w:t>41.9</w:t>
            </w:r>
          </w:p>
        </w:tc>
        <w:tc>
          <w:tcPr>
            <w:tcW w:w="1111" w:type="pct"/>
            <w:tcBorders>
              <w:top w:val="double" w:sz="4" w:space="0" w:color="auto"/>
            </w:tcBorders>
          </w:tcPr>
          <w:p w14:paraId="040D0044" w14:textId="7B08C116" w:rsidR="00BA3349" w:rsidRDefault="001A056F" w:rsidP="00AD0F63">
            <w:pPr>
              <w:jc w:val="center"/>
              <w:rPr>
                <w:sz w:val="22"/>
                <w:szCs w:val="22"/>
              </w:rPr>
            </w:pPr>
            <w:r>
              <w:rPr>
                <w:sz w:val="22"/>
                <w:szCs w:val="22"/>
              </w:rPr>
              <w:t>67.7</w:t>
            </w:r>
          </w:p>
        </w:tc>
      </w:tr>
      <w:tr w:rsidR="00BA3349" w14:paraId="6CDAD0E3" w14:textId="01CFE708" w:rsidTr="00BA3349">
        <w:tc>
          <w:tcPr>
            <w:tcW w:w="2778" w:type="pct"/>
          </w:tcPr>
          <w:p w14:paraId="7792942F" w14:textId="046A6E11" w:rsidR="00BA3349" w:rsidRDefault="00BA3349" w:rsidP="00AD0F63">
            <w:pPr>
              <w:rPr>
                <w:sz w:val="22"/>
                <w:szCs w:val="22"/>
              </w:rPr>
            </w:pPr>
            <w:r>
              <w:rPr>
                <w:sz w:val="22"/>
                <w:szCs w:val="22"/>
              </w:rPr>
              <w:t>Conducting n</w:t>
            </w:r>
            <w:r w:rsidRPr="004F218F">
              <w:rPr>
                <w:sz w:val="22"/>
                <w:szCs w:val="22"/>
              </w:rPr>
              <w:t xml:space="preserve">eighborhood </w:t>
            </w:r>
            <w:r>
              <w:rPr>
                <w:sz w:val="22"/>
                <w:szCs w:val="22"/>
              </w:rPr>
              <w:t>and community related projects</w:t>
            </w:r>
          </w:p>
        </w:tc>
        <w:tc>
          <w:tcPr>
            <w:tcW w:w="1111" w:type="pct"/>
          </w:tcPr>
          <w:p w14:paraId="4D4BB7E6" w14:textId="4CE4BAF7" w:rsidR="00BA3349" w:rsidRDefault="00BA3349" w:rsidP="00AD0F63">
            <w:pPr>
              <w:jc w:val="center"/>
              <w:rPr>
                <w:sz w:val="22"/>
                <w:szCs w:val="22"/>
              </w:rPr>
            </w:pPr>
            <w:r>
              <w:rPr>
                <w:sz w:val="22"/>
                <w:szCs w:val="22"/>
              </w:rPr>
              <w:t>25.8</w:t>
            </w:r>
          </w:p>
        </w:tc>
        <w:tc>
          <w:tcPr>
            <w:tcW w:w="1111" w:type="pct"/>
          </w:tcPr>
          <w:p w14:paraId="1FDEC578" w14:textId="18FFBCF3" w:rsidR="00BA3349" w:rsidRDefault="00BA3349" w:rsidP="00AD0F63">
            <w:pPr>
              <w:jc w:val="center"/>
              <w:rPr>
                <w:sz w:val="22"/>
                <w:szCs w:val="22"/>
              </w:rPr>
            </w:pPr>
            <w:r>
              <w:rPr>
                <w:sz w:val="22"/>
                <w:szCs w:val="22"/>
              </w:rPr>
              <w:t>67.7</w:t>
            </w:r>
          </w:p>
        </w:tc>
      </w:tr>
      <w:tr w:rsidR="00BA3349" w14:paraId="5F49AD7B" w14:textId="404A62D7" w:rsidTr="00BA3349">
        <w:tc>
          <w:tcPr>
            <w:tcW w:w="2778" w:type="pct"/>
          </w:tcPr>
          <w:p w14:paraId="218C889B" w14:textId="34416629" w:rsidR="00BA3349" w:rsidRDefault="00BA3349" w:rsidP="00AD0F63">
            <w:pPr>
              <w:rPr>
                <w:sz w:val="22"/>
                <w:szCs w:val="22"/>
              </w:rPr>
            </w:pPr>
            <w:r>
              <w:rPr>
                <w:sz w:val="22"/>
                <w:szCs w:val="22"/>
              </w:rPr>
              <w:t>Conducting p</w:t>
            </w:r>
            <w:r w:rsidRPr="004F218F">
              <w:rPr>
                <w:sz w:val="22"/>
                <w:szCs w:val="22"/>
              </w:rPr>
              <w:t>ublic and community health assessment</w:t>
            </w:r>
          </w:p>
        </w:tc>
        <w:tc>
          <w:tcPr>
            <w:tcW w:w="1111" w:type="pct"/>
          </w:tcPr>
          <w:p w14:paraId="27616AC4" w14:textId="4BF8FD73" w:rsidR="00BA3349" w:rsidRDefault="00BA3349" w:rsidP="00AD0F63">
            <w:pPr>
              <w:jc w:val="center"/>
              <w:rPr>
                <w:sz w:val="22"/>
                <w:szCs w:val="22"/>
              </w:rPr>
            </w:pPr>
            <w:r>
              <w:rPr>
                <w:sz w:val="22"/>
                <w:szCs w:val="22"/>
              </w:rPr>
              <w:t>22.6</w:t>
            </w:r>
          </w:p>
        </w:tc>
        <w:tc>
          <w:tcPr>
            <w:tcW w:w="1111" w:type="pct"/>
          </w:tcPr>
          <w:p w14:paraId="00BE9F36" w14:textId="260080AF" w:rsidR="00BA3349" w:rsidRDefault="00BA3349" w:rsidP="00AD0F63">
            <w:pPr>
              <w:jc w:val="center"/>
              <w:rPr>
                <w:sz w:val="22"/>
                <w:szCs w:val="22"/>
              </w:rPr>
            </w:pPr>
            <w:r>
              <w:rPr>
                <w:sz w:val="22"/>
                <w:szCs w:val="22"/>
              </w:rPr>
              <w:t>54.8</w:t>
            </w:r>
          </w:p>
        </w:tc>
      </w:tr>
      <w:tr w:rsidR="00BA3349" w14:paraId="25DAC61E" w14:textId="2BEE8A93" w:rsidTr="00BA3349">
        <w:tc>
          <w:tcPr>
            <w:tcW w:w="2778" w:type="pct"/>
          </w:tcPr>
          <w:p w14:paraId="28911E14" w14:textId="48B1D29B" w:rsidR="00BA3349" w:rsidRDefault="00BA3349" w:rsidP="00AD0F63">
            <w:pPr>
              <w:rPr>
                <w:sz w:val="22"/>
                <w:szCs w:val="22"/>
              </w:rPr>
            </w:pPr>
            <w:r>
              <w:rPr>
                <w:sz w:val="22"/>
                <w:szCs w:val="22"/>
              </w:rPr>
              <w:t>Planning, designing and constructing residential, commercial, or industrial projects</w:t>
            </w:r>
          </w:p>
        </w:tc>
        <w:tc>
          <w:tcPr>
            <w:tcW w:w="1111" w:type="pct"/>
          </w:tcPr>
          <w:p w14:paraId="623BA94C" w14:textId="5CB0BF42" w:rsidR="00BA3349" w:rsidRDefault="00BA3349" w:rsidP="00AD0F63">
            <w:pPr>
              <w:jc w:val="center"/>
              <w:rPr>
                <w:sz w:val="22"/>
                <w:szCs w:val="22"/>
              </w:rPr>
            </w:pPr>
            <w:r>
              <w:rPr>
                <w:sz w:val="22"/>
                <w:szCs w:val="22"/>
              </w:rPr>
              <w:t>19.4</w:t>
            </w:r>
          </w:p>
        </w:tc>
        <w:tc>
          <w:tcPr>
            <w:tcW w:w="1111" w:type="pct"/>
          </w:tcPr>
          <w:p w14:paraId="7946E678" w14:textId="7C557B35" w:rsidR="00BA3349" w:rsidRDefault="00BA3349" w:rsidP="00AD0F63">
            <w:pPr>
              <w:jc w:val="center"/>
              <w:rPr>
                <w:sz w:val="22"/>
                <w:szCs w:val="22"/>
              </w:rPr>
            </w:pPr>
            <w:r>
              <w:rPr>
                <w:sz w:val="22"/>
                <w:szCs w:val="22"/>
              </w:rPr>
              <w:t>25.8</w:t>
            </w:r>
          </w:p>
        </w:tc>
      </w:tr>
      <w:tr w:rsidR="00BA3349" w14:paraId="4D0A605D" w14:textId="3004705C" w:rsidTr="00BA3349">
        <w:tc>
          <w:tcPr>
            <w:tcW w:w="2778" w:type="pct"/>
          </w:tcPr>
          <w:p w14:paraId="54EF29E4" w14:textId="4A917E23" w:rsidR="00BA3349" w:rsidRDefault="00BA3349" w:rsidP="00AD0F63">
            <w:pPr>
              <w:rPr>
                <w:sz w:val="22"/>
                <w:szCs w:val="22"/>
              </w:rPr>
            </w:pPr>
            <w:r>
              <w:rPr>
                <w:sz w:val="22"/>
                <w:szCs w:val="22"/>
              </w:rPr>
              <w:t>Conducting e</w:t>
            </w:r>
            <w:r w:rsidRPr="004F218F">
              <w:rPr>
                <w:sz w:val="22"/>
                <w:szCs w:val="22"/>
              </w:rPr>
              <w:t>nvironmental impact assessment</w:t>
            </w:r>
          </w:p>
        </w:tc>
        <w:tc>
          <w:tcPr>
            <w:tcW w:w="1111" w:type="pct"/>
          </w:tcPr>
          <w:p w14:paraId="7626E41F" w14:textId="27C811CD" w:rsidR="00BA3349" w:rsidRDefault="00BA3349" w:rsidP="00AD0F63">
            <w:pPr>
              <w:jc w:val="center"/>
              <w:rPr>
                <w:sz w:val="22"/>
                <w:szCs w:val="22"/>
              </w:rPr>
            </w:pPr>
            <w:r>
              <w:rPr>
                <w:sz w:val="22"/>
                <w:szCs w:val="22"/>
              </w:rPr>
              <w:t>16.1</w:t>
            </w:r>
          </w:p>
        </w:tc>
        <w:tc>
          <w:tcPr>
            <w:tcW w:w="1111" w:type="pct"/>
          </w:tcPr>
          <w:p w14:paraId="355744BA" w14:textId="7664A4F3" w:rsidR="00BA3349" w:rsidRDefault="00BA3349" w:rsidP="00AD0F63">
            <w:pPr>
              <w:jc w:val="center"/>
              <w:rPr>
                <w:sz w:val="22"/>
                <w:szCs w:val="22"/>
              </w:rPr>
            </w:pPr>
            <w:r>
              <w:rPr>
                <w:sz w:val="22"/>
                <w:szCs w:val="22"/>
              </w:rPr>
              <w:t>45.2</w:t>
            </w:r>
          </w:p>
        </w:tc>
      </w:tr>
      <w:tr w:rsidR="00BA3349" w14:paraId="667E9EFF" w14:textId="6FF45C19" w:rsidTr="00BA3349">
        <w:tc>
          <w:tcPr>
            <w:tcW w:w="2778" w:type="pct"/>
          </w:tcPr>
          <w:p w14:paraId="221FA73B" w14:textId="08363B7E" w:rsidR="00BA3349" w:rsidRDefault="00BA3349" w:rsidP="00AD0F63">
            <w:pPr>
              <w:rPr>
                <w:sz w:val="22"/>
                <w:szCs w:val="22"/>
              </w:rPr>
            </w:pPr>
            <w:r w:rsidRPr="004F218F">
              <w:rPr>
                <w:sz w:val="22"/>
                <w:szCs w:val="22"/>
              </w:rPr>
              <w:t>Engineering</w:t>
            </w:r>
            <w:r>
              <w:rPr>
                <w:sz w:val="22"/>
                <w:szCs w:val="22"/>
              </w:rPr>
              <w:t>, building</w:t>
            </w:r>
            <w:r w:rsidRPr="004F218F">
              <w:rPr>
                <w:sz w:val="22"/>
                <w:szCs w:val="22"/>
              </w:rPr>
              <w:t xml:space="preserve"> and </w:t>
            </w:r>
            <w:r>
              <w:rPr>
                <w:sz w:val="22"/>
                <w:szCs w:val="22"/>
              </w:rPr>
              <w:t>maintaining</w:t>
            </w:r>
            <w:r w:rsidRPr="00966CBF">
              <w:rPr>
                <w:sz w:val="22"/>
                <w:szCs w:val="22"/>
              </w:rPr>
              <w:t xml:space="preserve"> </w:t>
            </w:r>
            <w:r w:rsidRPr="004F218F">
              <w:rPr>
                <w:sz w:val="22"/>
                <w:szCs w:val="22"/>
              </w:rPr>
              <w:t>public infrastructure</w:t>
            </w:r>
          </w:p>
        </w:tc>
        <w:tc>
          <w:tcPr>
            <w:tcW w:w="1111" w:type="pct"/>
          </w:tcPr>
          <w:p w14:paraId="335F34F0" w14:textId="0FCB424B" w:rsidR="00BA3349" w:rsidRDefault="00BA3349" w:rsidP="00AD0F63">
            <w:pPr>
              <w:jc w:val="center"/>
              <w:rPr>
                <w:sz w:val="22"/>
                <w:szCs w:val="22"/>
              </w:rPr>
            </w:pPr>
            <w:r>
              <w:rPr>
                <w:sz w:val="22"/>
                <w:szCs w:val="22"/>
              </w:rPr>
              <w:t>16.1</w:t>
            </w:r>
          </w:p>
        </w:tc>
        <w:tc>
          <w:tcPr>
            <w:tcW w:w="1111" w:type="pct"/>
          </w:tcPr>
          <w:p w14:paraId="0C7E24B2" w14:textId="0E18F27F" w:rsidR="00BA3349" w:rsidRDefault="00BA3349" w:rsidP="00AD0F63">
            <w:pPr>
              <w:jc w:val="center"/>
              <w:rPr>
                <w:sz w:val="22"/>
                <w:szCs w:val="22"/>
              </w:rPr>
            </w:pPr>
            <w:r>
              <w:rPr>
                <w:sz w:val="22"/>
                <w:szCs w:val="22"/>
              </w:rPr>
              <w:t>12.9</w:t>
            </w:r>
          </w:p>
        </w:tc>
      </w:tr>
      <w:tr w:rsidR="00BA3349" w14:paraId="13352120" w14:textId="5E526CA5" w:rsidTr="00BA3349">
        <w:tc>
          <w:tcPr>
            <w:tcW w:w="2778" w:type="pct"/>
          </w:tcPr>
          <w:p w14:paraId="22A6853D" w14:textId="590AAF9D" w:rsidR="00BA3349" w:rsidRDefault="00BA3349" w:rsidP="00AD0F63">
            <w:pPr>
              <w:rPr>
                <w:sz w:val="22"/>
                <w:szCs w:val="22"/>
              </w:rPr>
            </w:pPr>
            <w:r>
              <w:rPr>
                <w:sz w:val="22"/>
                <w:szCs w:val="22"/>
              </w:rPr>
              <w:t xml:space="preserve">Conducting </w:t>
            </w:r>
            <w:r w:rsidRPr="004F218F">
              <w:rPr>
                <w:sz w:val="22"/>
                <w:szCs w:val="22"/>
              </w:rPr>
              <w:t xml:space="preserve">economic </w:t>
            </w:r>
            <w:r>
              <w:rPr>
                <w:sz w:val="22"/>
                <w:szCs w:val="22"/>
              </w:rPr>
              <w:t xml:space="preserve">redevelopment and </w:t>
            </w:r>
            <w:r w:rsidRPr="004F218F">
              <w:rPr>
                <w:sz w:val="22"/>
                <w:szCs w:val="22"/>
              </w:rPr>
              <w:t>impact assessment</w:t>
            </w:r>
          </w:p>
        </w:tc>
        <w:tc>
          <w:tcPr>
            <w:tcW w:w="1111" w:type="pct"/>
          </w:tcPr>
          <w:p w14:paraId="69523E83" w14:textId="3D5531DD" w:rsidR="00BA3349" w:rsidRDefault="00BA3349" w:rsidP="00AD0F63">
            <w:pPr>
              <w:jc w:val="center"/>
              <w:rPr>
                <w:sz w:val="22"/>
                <w:szCs w:val="22"/>
              </w:rPr>
            </w:pPr>
            <w:r>
              <w:rPr>
                <w:sz w:val="22"/>
                <w:szCs w:val="22"/>
              </w:rPr>
              <w:t>12.9</w:t>
            </w:r>
          </w:p>
        </w:tc>
        <w:tc>
          <w:tcPr>
            <w:tcW w:w="1111" w:type="pct"/>
          </w:tcPr>
          <w:p w14:paraId="1B1EE7AF" w14:textId="6E1B9B1F" w:rsidR="00BA3349" w:rsidRDefault="00BA3349" w:rsidP="00AD0F63">
            <w:pPr>
              <w:jc w:val="center"/>
              <w:rPr>
                <w:sz w:val="22"/>
                <w:szCs w:val="22"/>
              </w:rPr>
            </w:pPr>
            <w:r>
              <w:rPr>
                <w:sz w:val="22"/>
                <w:szCs w:val="22"/>
              </w:rPr>
              <w:t>48.4</w:t>
            </w:r>
          </w:p>
        </w:tc>
      </w:tr>
      <w:tr w:rsidR="00BA3349" w14:paraId="6816B884" w14:textId="0BAAF414" w:rsidTr="00BA3349">
        <w:tc>
          <w:tcPr>
            <w:tcW w:w="2778" w:type="pct"/>
          </w:tcPr>
          <w:p w14:paraId="784493ED" w14:textId="4CA49F67" w:rsidR="00BA3349" w:rsidRDefault="00BA3349" w:rsidP="00AD0F63">
            <w:pPr>
              <w:rPr>
                <w:sz w:val="22"/>
                <w:szCs w:val="22"/>
              </w:rPr>
            </w:pPr>
            <w:r>
              <w:rPr>
                <w:sz w:val="22"/>
                <w:szCs w:val="22"/>
              </w:rPr>
              <w:t>Planning, designing and constructing r</w:t>
            </w:r>
            <w:r w:rsidRPr="004F218F">
              <w:rPr>
                <w:sz w:val="22"/>
                <w:szCs w:val="22"/>
              </w:rPr>
              <w:t>oads and highways</w:t>
            </w:r>
          </w:p>
        </w:tc>
        <w:tc>
          <w:tcPr>
            <w:tcW w:w="1111" w:type="pct"/>
          </w:tcPr>
          <w:p w14:paraId="79EBD9FD" w14:textId="7D13C5F3" w:rsidR="00BA3349" w:rsidRDefault="00BA3349" w:rsidP="00AD0F63">
            <w:pPr>
              <w:jc w:val="center"/>
              <w:rPr>
                <w:sz w:val="22"/>
                <w:szCs w:val="22"/>
              </w:rPr>
            </w:pPr>
            <w:r>
              <w:rPr>
                <w:sz w:val="22"/>
                <w:szCs w:val="22"/>
              </w:rPr>
              <w:t>9.7</w:t>
            </w:r>
          </w:p>
        </w:tc>
        <w:tc>
          <w:tcPr>
            <w:tcW w:w="1111" w:type="pct"/>
          </w:tcPr>
          <w:p w14:paraId="38624C07" w14:textId="24CB0306" w:rsidR="00BA3349" w:rsidRDefault="001A056F" w:rsidP="00AD0F63">
            <w:pPr>
              <w:jc w:val="center"/>
              <w:rPr>
                <w:sz w:val="22"/>
                <w:szCs w:val="22"/>
              </w:rPr>
            </w:pPr>
            <w:r>
              <w:rPr>
                <w:sz w:val="22"/>
                <w:szCs w:val="22"/>
              </w:rPr>
              <w:t>16.1</w:t>
            </w:r>
          </w:p>
        </w:tc>
      </w:tr>
      <w:tr w:rsidR="00BA3349" w14:paraId="50DF7737" w14:textId="2E0B7B31" w:rsidTr="00BA3349">
        <w:tc>
          <w:tcPr>
            <w:tcW w:w="2778" w:type="pct"/>
          </w:tcPr>
          <w:p w14:paraId="4AB198AA" w14:textId="7D846C7A" w:rsidR="00BA3349" w:rsidRDefault="00BA3349" w:rsidP="00AD0F63">
            <w:pPr>
              <w:rPr>
                <w:sz w:val="22"/>
                <w:szCs w:val="22"/>
              </w:rPr>
            </w:pPr>
            <w:r w:rsidRPr="004F218F">
              <w:rPr>
                <w:sz w:val="22"/>
                <w:szCs w:val="22"/>
              </w:rPr>
              <w:t>Taxation</w:t>
            </w:r>
          </w:p>
        </w:tc>
        <w:tc>
          <w:tcPr>
            <w:tcW w:w="1111" w:type="pct"/>
          </w:tcPr>
          <w:p w14:paraId="1A3A7D23" w14:textId="0094E6FA" w:rsidR="00BA3349" w:rsidRDefault="00BA3349" w:rsidP="00AD0F63">
            <w:pPr>
              <w:jc w:val="center"/>
              <w:rPr>
                <w:sz w:val="22"/>
                <w:szCs w:val="22"/>
              </w:rPr>
            </w:pPr>
            <w:r>
              <w:rPr>
                <w:sz w:val="22"/>
                <w:szCs w:val="22"/>
              </w:rPr>
              <w:t>9.7</w:t>
            </w:r>
          </w:p>
        </w:tc>
        <w:tc>
          <w:tcPr>
            <w:tcW w:w="1111" w:type="pct"/>
          </w:tcPr>
          <w:p w14:paraId="0981C7B1" w14:textId="1B3FBB00" w:rsidR="00BA3349" w:rsidRDefault="001A056F" w:rsidP="00AD0F63">
            <w:pPr>
              <w:jc w:val="center"/>
              <w:rPr>
                <w:sz w:val="22"/>
                <w:szCs w:val="22"/>
              </w:rPr>
            </w:pPr>
            <w:r>
              <w:rPr>
                <w:sz w:val="22"/>
                <w:szCs w:val="22"/>
              </w:rPr>
              <w:t>6.5</w:t>
            </w:r>
          </w:p>
        </w:tc>
      </w:tr>
      <w:tr w:rsidR="00BA3349" w14:paraId="30A87765" w14:textId="52D69051" w:rsidTr="00BA3349">
        <w:tc>
          <w:tcPr>
            <w:tcW w:w="2778" w:type="pct"/>
          </w:tcPr>
          <w:p w14:paraId="27ED481B" w14:textId="4A4BB364" w:rsidR="00BA3349" w:rsidRDefault="00BA3349" w:rsidP="00AD0F63">
            <w:pPr>
              <w:rPr>
                <w:sz w:val="22"/>
                <w:szCs w:val="22"/>
              </w:rPr>
            </w:pPr>
            <w:r>
              <w:rPr>
                <w:sz w:val="22"/>
                <w:szCs w:val="22"/>
              </w:rPr>
              <w:t>Designing and implementing fair and affordable housing projects</w:t>
            </w:r>
          </w:p>
        </w:tc>
        <w:tc>
          <w:tcPr>
            <w:tcW w:w="1111" w:type="pct"/>
          </w:tcPr>
          <w:p w14:paraId="54F40674" w14:textId="5BE68827" w:rsidR="00BA3349" w:rsidRDefault="00BA3349" w:rsidP="00AD0F63">
            <w:pPr>
              <w:jc w:val="center"/>
              <w:rPr>
                <w:sz w:val="22"/>
                <w:szCs w:val="22"/>
              </w:rPr>
            </w:pPr>
            <w:r>
              <w:rPr>
                <w:sz w:val="22"/>
                <w:szCs w:val="22"/>
              </w:rPr>
              <w:t>6.5</w:t>
            </w:r>
          </w:p>
        </w:tc>
        <w:tc>
          <w:tcPr>
            <w:tcW w:w="1111" w:type="pct"/>
          </w:tcPr>
          <w:p w14:paraId="0C6B440D" w14:textId="76F59CDA" w:rsidR="00BA3349" w:rsidRDefault="001A056F" w:rsidP="00AD0F63">
            <w:pPr>
              <w:jc w:val="center"/>
              <w:rPr>
                <w:sz w:val="22"/>
                <w:szCs w:val="22"/>
              </w:rPr>
            </w:pPr>
            <w:r>
              <w:rPr>
                <w:sz w:val="22"/>
                <w:szCs w:val="22"/>
              </w:rPr>
              <w:t>35.5</w:t>
            </w:r>
          </w:p>
        </w:tc>
      </w:tr>
      <w:tr w:rsidR="00BA3349" w14:paraId="24611E82" w14:textId="0A1E6B49" w:rsidTr="00BA3349">
        <w:tc>
          <w:tcPr>
            <w:tcW w:w="2778" w:type="pct"/>
          </w:tcPr>
          <w:p w14:paraId="6FD318FF" w14:textId="630D23CF" w:rsidR="00BA3349" w:rsidRDefault="00BA3349" w:rsidP="00AD0F63">
            <w:pPr>
              <w:rPr>
                <w:color w:val="000000"/>
                <w:kern w:val="24"/>
                <w:sz w:val="22"/>
                <w:szCs w:val="22"/>
              </w:rPr>
            </w:pPr>
            <w:r>
              <w:rPr>
                <w:color w:val="000000"/>
                <w:kern w:val="24"/>
                <w:sz w:val="22"/>
                <w:szCs w:val="22"/>
              </w:rPr>
              <w:t>Health impacts associated with climate change</w:t>
            </w:r>
          </w:p>
        </w:tc>
        <w:tc>
          <w:tcPr>
            <w:tcW w:w="1111" w:type="pct"/>
          </w:tcPr>
          <w:p w14:paraId="1072EFAB" w14:textId="3CDC1B39" w:rsidR="00BA3349" w:rsidRDefault="00BA3349" w:rsidP="00AD0F63">
            <w:pPr>
              <w:jc w:val="center"/>
              <w:rPr>
                <w:sz w:val="22"/>
                <w:szCs w:val="22"/>
              </w:rPr>
            </w:pPr>
            <w:r>
              <w:rPr>
                <w:sz w:val="22"/>
                <w:szCs w:val="22"/>
              </w:rPr>
              <w:t>3.2</w:t>
            </w:r>
          </w:p>
        </w:tc>
        <w:tc>
          <w:tcPr>
            <w:tcW w:w="1111" w:type="pct"/>
          </w:tcPr>
          <w:p w14:paraId="4C068AB6" w14:textId="478F5DB1" w:rsidR="00BA3349" w:rsidRDefault="001A056F" w:rsidP="00AD0F63">
            <w:pPr>
              <w:jc w:val="center"/>
              <w:rPr>
                <w:sz w:val="22"/>
                <w:szCs w:val="22"/>
              </w:rPr>
            </w:pPr>
            <w:r>
              <w:rPr>
                <w:sz w:val="22"/>
                <w:szCs w:val="22"/>
              </w:rPr>
              <w:t>54.8</w:t>
            </w:r>
          </w:p>
        </w:tc>
      </w:tr>
      <w:tr w:rsidR="00BA3349" w14:paraId="48BF8C56" w14:textId="320454FD" w:rsidTr="00BA3349">
        <w:tc>
          <w:tcPr>
            <w:tcW w:w="2778" w:type="pct"/>
          </w:tcPr>
          <w:p w14:paraId="1647B315" w14:textId="72B81059" w:rsidR="00BA3349" w:rsidRDefault="00BA3349" w:rsidP="00BA3349">
            <w:pPr>
              <w:rPr>
                <w:color w:val="000000"/>
                <w:kern w:val="24"/>
                <w:sz w:val="22"/>
                <w:szCs w:val="22"/>
              </w:rPr>
            </w:pPr>
            <w:r>
              <w:rPr>
                <w:color w:val="000000"/>
                <w:kern w:val="24"/>
                <w:sz w:val="22"/>
                <w:szCs w:val="22"/>
              </w:rPr>
              <w:t>Other (Do not use a GIS in decision making)</w:t>
            </w:r>
          </w:p>
        </w:tc>
        <w:tc>
          <w:tcPr>
            <w:tcW w:w="1111" w:type="pct"/>
          </w:tcPr>
          <w:p w14:paraId="57ADFC94" w14:textId="15F184C2" w:rsidR="00BA3349" w:rsidRDefault="00BA3349" w:rsidP="00AD0F63">
            <w:pPr>
              <w:jc w:val="center"/>
              <w:rPr>
                <w:sz w:val="22"/>
                <w:szCs w:val="22"/>
              </w:rPr>
            </w:pPr>
            <w:r>
              <w:rPr>
                <w:sz w:val="22"/>
                <w:szCs w:val="22"/>
              </w:rPr>
              <w:t>41.9</w:t>
            </w:r>
          </w:p>
        </w:tc>
        <w:tc>
          <w:tcPr>
            <w:tcW w:w="1111" w:type="pct"/>
          </w:tcPr>
          <w:p w14:paraId="6B3D44D3" w14:textId="620A2AF0" w:rsidR="00BA3349" w:rsidRDefault="001A056F" w:rsidP="00AD0F63">
            <w:pPr>
              <w:jc w:val="center"/>
              <w:rPr>
                <w:sz w:val="22"/>
                <w:szCs w:val="22"/>
              </w:rPr>
            </w:pPr>
            <w:r>
              <w:rPr>
                <w:sz w:val="22"/>
                <w:szCs w:val="22"/>
              </w:rPr>
              <w:t>19.4</w:t>
            </w:r>
          </w:p>
        </w:tc>
      </w:tr>
    </w:tbl>
    <w:p w14:paraId="77779F86" w14:textId="77777777" w:rsidR="00AD0F63" w:rsidRPr="00605080" w:rsidRDefault="00AD0F63" w:rsidP="00AD0F63">
      <w:pPr>
        <w:rPr>
          <w:sz w:val="8"/>
          <w:szCs w:val="8"/>
        </w:rPr>
      </w:pPr>
    </w:p>
    <w:p w14:paraId="27284D0B" w14:textId="46BAB0A9" w:rsidR="00605080" w:rsidRPr="00460A10" w:rsidRDefault="00605080" w:rsidP="00460A10">
      <w:pPr>
        <w:jc w:val="center"/>
        <w:rPr>
          <w:b/>
          <w:sz w:val="22"/>
          <w:szCs w:val="22"/>
        </w:rPr>
      </w:pPr>
      <w:r w:rsidRPr="00460A10">
        <w:rPr>
          <w:b/>
          <w:sz w:val="22"/>
          <w:szCs w:val="22"/>
        </w:rPr>
        <w:t xml:space="preserve">Table 2. </w:t>
      </w:r>
      <w:r w:rsidR="00460A10" w:rsidRPr="00460A10">
        <w:rPr>
          <w:b/>
          <w:sz w:val="22"/>
          <w:szCs w:val="22"/>
        </w:rPr>
        <w:t xml:space="preserve">Potential Land-Use Decisions Supported by </w:t>
      </w:r>
      <w:r w:rsidR="002C70FB">
        <w:rPr>
          <w:b/>
          <w:sz w:val="22"/>
          <w:szCs w:val="22"/>
        </w:rPr>
        <w:t>Geospatial Information Resources</w:t>
      </w:r>
    </w:p>
    <w:p w14:paraId="50206966" w14:textId="77777777" w:rsidR="00605080" w:rsidRDefault="00605080" w:rsidP="00AD0F63">
      <w:pPr>
        <w:rPr>
          <w:sz w:val="22"/>
          <w:szCs w:val="22"/>
        </w:rPr>
      </w:pPr>
    </w:p>
    <w:p w14:paraId="7C7A3B9D" w14:textId="77777777" w:rsidR="005C2DE9" w:rsidRDefault="005C2DE9" w:rsidP="00AD0F63">
      <w:pPr>
        <w:rPr>
          <w:sz w:val="22"/>
          <w:szCs w:val="22"/>
        </w:rPr>
      </w:pPr>
    </w:p>
    <w:p w14:paraId="136C91D3" w14:textId="23CDB03B" w:rsidR="00EE5A63" w:rsidRPr="00F34850" w:rsidRDefault="00EE5A63" w:rsidP="00AD0F63">
      <w:pPr>
        <w:rPr>
          <w:b/>
        </w:rPr>
      </w:pPr>
      <w:r w:rsidRPr="00F34850">
        <w:rPr>
          <w:b/>
        </w:rPr>
        <w:t>System Design and Functional Specifications</w:t>
      </w:r>
    </w:p>
    <w:p w14:paraId="4722F995" w14:textId="77777777" w:rsidR="00EE5A63" w:rsidRDefault="00EE5A63" w:rsidP="00AD0F63">
      <w:pPr>
        <w:rPr>
          <w:sz w:val="22"/>
          <w:szCs w:val="22"/>
        </w:rPr>
      </w:pPr>
    </w:p>
    <w:p w14:paraId="030E0ABB" w14:textId="72D7AA25" w:rsidR="002F6ED0" w:rsidRPr="001E79C9" w:rsidRDefault="002F6ED0" w:rsidP="002F6ED0">
      <w:pPr>
        <w:rPr>
          <w:sz w:val="22"/>
          <w:szCs w:val="22"/>
          <w:u w:val="single"/>
        </w:rPr>
      </w:pPr>
      <w:r w:rsidRPr="001E79C9">
        <w:rPr>
          <w:sz w:val="22"/>
          <w:szCs w:val="22"/>
          <w:u w:val="single"/>
        </w:rPr>
        <w:t>User Interfac</w:t>
      </w:r>
      <w:r w:rsidR="001E79C9" w:rsidRPr="001E79C9">
        <w:rPr>
          <w:sz w:val="22"/>
          <w:szCs w:val="22"/>
          <w:u w:val="single"/>
        </w:rPr>
        <w:t>e</w:t>
      </w:r>
      <w:r w:rsidR="00F34850">
        <w:rPr>
          <w:sz w:val="22"/>
          <w:szCs w:val="22"/>
          <w:u w:val="single"/>
        </w:rPr>
        <w:t xml:space="preserve"> and Access</w:t>
      </w:r>
    </w:p>
    <w:p w14:paraId="006106E6" w14:textId="77777777" w:rsidR="00143128" w:rsidRPr="00143128" w:rsidRDefault="00143128" w:rsidP="00143128">
      <w:pPr>
        <w:rPr>
          <w:sz w:val="16"/>
          <w:szCs w:val="16"/>
          <w:lang w:eastAsia="ja-JP"/>
        </w:rPr>
      </w:pPr>
    </w:p>
    <w:p w14:paraId="67D2E969" w14:textId="28D79E11" w:rsidR="003343A4" w:rsidRDefault="00F34850" w:rsidP="003343A4">
      <w:pPr>
        <w:tabs>
          <w:tab w:val="left" w:pos="5040"/>
        </w:tabs>
        <w:rPr>
          <w:sz w:val="22"/>
          <w:szCs w:val="22"/>
        </w:rPr>
      </w:pPr>
      <w:r>
        <w:rPr>
          <w:sz w:val="22"/>
          <w:szCs w:val="22"/>
        </w:rPr>
        <w:t>Based on results of the user needs analysis, the</w:t>
      </w:r>
      <w:r w:rsidR="003343A4" w:rsidRPr="007D7EDF">
        <w:rPr>
          <w:sz w:val="22"/>
          <w:szCs w:val="22"/>
        </w:rPr>
        <w:t xml:space="preserve"> principal goal </w:t>
      </w:r>
      <w:r>
        <w:rPr>
          <w:sz w:val="22"/>
          <w:szCs w:val="22"/>
        </w:rPr>
        <w:t>that</w:t>
      </w:r>
      <w:r w:rsidR="003343A4" w:rsidRPr="007D7EDF">
        <w:rPr>
          <w:sz w:val="22"/>
          <w:szCs w:val="22"/>
        </w:rPr>
        <w:t xml:space="preserve"> the </w:t>
      </w:r>
      <w:r w:rsidR="003343A4" w:rsidRPr="007D7EDF">
        <w:rPr>
          <w:sz w:val="22"/>
          <w:szCs w:val="22"/>
          <w:lang w:eastAsia="ja-JP"/>
        </w:rPr>
        <w:t xml:space="preserve">Health Impact Assessment/Energy Impacts Tool </w:t>
      </w:r>
      <w:r>
        <w:rPr>
          <w:sz w:val="22"/>
          <w:szCs w:val="22"/>
          <w:lang w:eastAsia="ja-JP"/>
        </w:rPr>
        <w:t xml:space="preserve">will be </w:t>
      </w:r>
      <w:r w:rsidR="003343A4" w:rsidRPr="007D7EDF">
        <w:rPr>
          <w:sz w:val="22"/>
          <w:szCs w:val="22"/>
          <w:lang w:eastAsia="ja-JP"/>
        </w:rPr>
        <w:t>to</w:t>
      </w:r>
      <w:r w:rsidR="003343A4" w:rsidRPr="007D7EDF">
        <w:rPr>
          <w:sz w:val="22"/>
          <w:szCs w:val="22"/>
        </w:rPr>
        <w:t xml:space="preserve"> facilitate the incorporation of health impacts into local planning, land use, transportation, and development design and permitting decisions in the municipalities in the Capital Region, through the development, dissemination, and implementation of a detailed, robust online toolkit. The toolkit will be readily available to the public, and will include documentation and training that will allow users within the region to download, replicate, and adapt it for planning, public discussion, and decision making.</w:t>
      </w:r>
    </w:p>
    <w:p w14:paraId="2552568F" w14:textId="77777777" w:rsidR="00143128" w:rsidRPr="00143128" w:rsidRDefault="00143128" w:rsidP="00143128">
      <w:pPr>
        <w:rPr>
          <w:sz w:val="16"/>
          <w:szCs w:val="16"/>
          <w:lang w:eastAsia="ja-JP"/>
        </w:rPr>
      </w:pPr>
    </w:p>
    <w:p w14:paraId="7C5FC3AC" w14:textId="18471BAE" w:rsidR="00D94EEA" w:rsidRPr="007D7EDF" w:rsidRDefault="00D94EEA" w:rsidP="00D94EEA">
      <w:pPr>
        <w:rPr>
          <w:sz w:val="22"/>
          <w:szCs w:val="22"/>
          <w:lang w:eastAsia="ja-JP"/>
        </w:rPr>
      </w:pPr>
      <w:r w:rsidRPr="007D7EDF">
        <w:rPr>
          <w:sz w:val="22"/>
          <w:szCs w:val="22"/>
          <w:lang w:eastAsia="ja-JP"/>
        </w:rPr>
        <w:t xml:space="preserve">The </w:t>
      </w:r>
      <w:r>
        <w:rPr>
          <w:sz w:val="22"/>
          <w:szCs w:val="22"/>
          <w:lang w:eastAsia="ja-JP"/>
        </w:rPr>
        <w:t>HIA Toolkit will be housed and accessed at TCRPC (</w:t>
      </w:r>
      <w:hyperlink r:id="rId11" w:history="1">
        <w:r w:rsidR="00C2703F" w:rsidRPr="00344709">
          <w:rPr>
            <w:rStyle w:val="Hyperlink"/>
            <w:sz w:val="22"/>
            <w:szCs w:val="22"/>
            <w:lang w:eastAsia="ja-JP"/>
          </w:rPr>
          <w:t>http://www.mitcrpc.org/</w:t>
        </w:r>
      </w:hyperlink>
      <w:r>
        <w:rPr>
          <w:sz w:val="22"/>
          <w:szCs w:val="22"/>
          <w:lang w:eastAsia="ja-JP"/>
        </w:rPr>
        <w:t xml:space="preserve">), by which the toolkit will serve as a planning support resource by the primary user community. In addition, the HIA Toolkit </w:t>
      </w:r>
      <w:r w:rsidRPr="007D7EDF">
        <w:rPr>
          <w:sz w:val="22"/>
          <w:szCs w:val="22"/>
          <w:lang w:eastAsia="ja-JP"/>
        </w:rPr>
        <w:t xml:space="preserve">will be accessible </w:t>
      </w:r>
      <w:r>
        <w:rPr>
          <w:sz w:val="22"/>
          <w:szCs w:val="22"/>
          <w:lang w:eastAsia="ja-JP"/>
        </w:rPr>
        <w:t>to the public via the MMPGS Portal</w:t>
      </w:r>
      <w:r w:rsidR="00C2703F">
        <w:rPr>
          <w:sz w:val="22"/>
          <w:szCs w:val="22"/>
          <w:lang w:eastAsia="ja-JP"/>
        </w:rPr>
        <w:t xml:space="preserve"> (</w:t>
      </w:r>
      <w:hyperlink r:id="rId12" w:history="1">
        <w:r w:rsidR="00C2703F" w:rsidRPr="00344709">
          <w:rPr>
            <w:rStyle w:val="Hyperlink"/>
            <w:sz w:val="22"/>
            <w:szCs w:val="22"/>
            <w:lang w:eastAsia="ja-JP"/>
          </w:rPr>
          <w:t>http://www.midmichigansustainability.org/</w:t>
        </w:r>
      </w:hyperlink>
      <w:r w:rsidR="00C2703F">
        <w:rPr>
          <w:sz w:val="22"/>
          <w:szCs w:val="22"/>
          <w:lang w:eastAsia="ja-JP"/>
        </w:rPr>
        <w:t xml:space="preserve">). </w:t>
      </w:r>
      <w:r w:rsidRPr="007D7EDF">
        <w:rPr>
          <w:sz w:val="22"/>
          <w:szCs w:val="22"/>
          <w:lang w:eastAsia="ja-JP"/>
        </w:rPr>
        <w:t xml:space="preserve">The toolkit Home Page will provide an overview of the application, links to information about tool functions, and instructions on using the toolkit. A direct interface with the </w:t>
      </w:r>
      <w:r w:rsidRPr="007D7EDF">
        <w:rPr>
          <w:i/>
          <w:sz w:val="22"/>
          <w:szCs w:val="22"/>
          <w:lang w:eastAsia="ja-JP"/>
        </w:rPr>
        <w:t>MindMixer</w:t>
      </w:r>
      <w:r w:rsidRPr="007D7EDF">
        <w:rPr>
          <w:sz w:val="22"/>
          <w:szCs w:val="22"/>
          <w:lang w:eastAsia="ja-JP"/>
        </w:rPr>
        <w:t xml:space="preserve"> Public Forum will also be provided.</w:t>
      </w:r>
      <w:r w:rsidR="00E21188">
        <w:rPr>
          <w:sz w:val="22"/>
          <w:szCs w:val="22"/>
          <w:lang w:eastAsia="ja-JP"/>
        </w:rPr>
        <w:t xml:space="preserve"> </w:t>
      </w:r>
      <w:r w:rsidR="00E21188" w:rsidRPr="007D7EDF">
        <w:rPr>
          <w:sz w:val="22"/>
          <w:szCs w:val="22"/>
          <w:lang w:eastAsia="ja-JP"/>
        </w:rPr>
        <w:t xml:space="preserve">The </w:t>
      </w:r>
      <w:r w:rsidR="00E21188">
        <w:rPr>
          <w:sz w:val="22"/>
          <w:szCs w:val="22"/>
          <w:lang w:eastAsia="ja-JP"/>
        </w:rPr>
        <w:t>Health Impact Assessment Project</w:t>
      </w:r>
      <w:r w:rsidR="00E21188" w:rsidRPr="007D7EDF">
        <w:rPr>
          <w:sz w:val="22"/>
          <w:szCs w:val="22"/>
          <w:lang w:eastAsia="ja-JP"/>
        </w:rPr>
        <w:t xml:space="preserve"> Team will assist TCRPC in maintaining the on-line interface and data server and will continue to evaluate new technologies that will enhance the capabilities of the toolkit.</w:t>
      </w:r>
    </w:p>
    <w:p w14:paraId="20788F6E" w14:textId="77777777" w:rsidR="00D94EEA" w:rsidRPr="007D7EDF" w:rsidRDefault="00D94EEA" w:rsidP="003343A4">
      <w:pPr>
        <w:tabs>
          <w:tab w:val="left" w:pos="5040"/>
        </w:tabs>
        <w:rPr>
          <w:sz w:val="22"/>
          <w:szCs w:val="22"/>
          <w:lang w:eastAsia="ja-JP"/>
        </w:rPr>
      </w:pPr>
    </w:p>
    <w:p w14:paraId="0A0F584E" w14:textId="77777777" w:rsidR="002F6ED0" w:rsidRDefault="002F6ED0" w:rsidP="002F6ED0">
      <w:pPr>
        <w:rPr>
          <w:sz w:val="22"/>
          <w:szCs w:val="22"/>
          <w:u w:val="single"/>
          <w:lang w:eastAsia="ja-JP"/>
        </w:rPr>
      </w:pPr>
      <w:r w:rsidRPr="007D7EDF">
        <w:rPr>
          <w:sz w:val="22"/>
          <w:szCs w:val="22"/>
          <w:u w:val="single"/>
          <w:lang w:eastAsia="ja-JP"/>
        </w:rPr>
        <w:t>Tool Development, Access, and Use</w:t>
      </w:r>
    </w:p>
    <w:p w14:paraId="62CF7DD8" w14:textId="77777777" w:rsidR="00143128" w:rsidRPr="00143128" w:rsidRDefault="00143128" w:rsidP="00143128">
      <w:pPr>
        <w:rPr>
          <w:sz w:val="16"/>
          <w:szCs w:val="16"/>
          <w:lang w:eastAsia="ja-JP"/>
        </w:rPr>
      </w:pPr>
    </w:p>
    <w:p w14:paraId="38E482AF" w14:textId="13CFB239" w:rsidR="002F6ED0" w:rsidRPr="007D7EDF" w:rsidRDefault="00143128" w:rsidP="002F6ED0">
      <w:pPr>
        <w:rPr>
          <w:sz w:val="22"/>
          <w:szCs w:val="22"/>
        </w:rPr>
      </w:pPr>
      <w:r>
        <w:rPr>
          <w:sz w:val="22"/>
          <w:szCs w:val="22"/>
        </w:rPr>
        <w:t>Based on results of the user needs analysis, the HIA Toolkit</w:t>
      </w:r>
      <w:r w:rsidR="002F6ED0" w:rsidRPr="007D7EDF">
        <w:rPr>
          <w:sz w:val="22"/>
          <w:szCs w:val="22"/>
        </w:rPr>
        <w:t xml:space="preserve"> will provide online visualization, query, and assessment capability for the topics and health and energy-related issues identified in the needs analysis and report. Data analysis will include information about the affected environment, and will include vulnerable populations within project areas, and integrate ArcGIS data pertinent to regional health and land use and built environment decisions. The toolkit will include exact parcel relationships to transit routes, complete streets implementation community mapping updates, contaminated areas, schools, transit services, trails and open space, commerce centers, fresh food grocers, farmers markets, community gardens, emergency services, and other resources important to health. The toolkit will also include a set of standardized recommendations that can be incorporated in plans, development design, and permit conditions to address the health and energy impacts included in the toolkit. </w:t>
      </w:r>
    </w:p>
    <w:p w14:paraId="21F5039C" w14:textId="77777777" w:rsidR="00143128" w:rsidRPr="00143128" w:rsidRDefault="00143128" w:rsidP="00143128">
      <w:pPr>
        <w:rPr>
          <w:sz w:val="16"/>
          <w:szCs w:val="16"/>
          <w:lang w:eastAsia="ja-JP"/>
        </w:rPr>
      </w:pPr>
    </w:p>
    <w:p w14:paraId="220632DF" w14:textId="77777777" w:rsidR="002F6ED0" w:rsidRPr="007D7EDF" w:rsidRDefault="002F6ED0" w:rsidP="002F6ED0">
      <w:pPr>
        <w:rPr>
          <w:sz w:val="22"/>
          <w:szCs w:val="22"/>
          <w:lang w:eastAsia="ja-JP"/>
        </w:rPr>
      </w:pPr>
      <w:r w:rsidRPr="007D7EDF">
        <w:rPr>
          <w:sz w:val="22"/>
          <w:szCs w:val="22"/>
          <w:lang w:eastAsia="ja-JP"/>
        </w:rPr>
        <w:t xml:space="preserve">In addition, the user groups made several recommendations regarding the functionality of the toolkit, including: </w:t>
      </w:r>
    </w:p>
    <w:p w14:paraId="62DA63E9" w14:textId="305B7BC5" w:rsidR="002F6ED0" w:rsidRDefault="00F34850" w:rsidP="00143128">
      <w:pPr>
        <w:pStyle w:val="ListParagraph"/>
        <w:numPr>
          <w:ilvl w:val="0"/>
          <w:numId w:val="10"/>
        </w:numPr>
        <w:rPr>
          <w:sz w:val="22"/>
          <w:szCs w:val="22"/>
        </w:rPr>
      </w:pPr>
      <w:r>
        <w:rPr>
          <w:sz w:val="22"/>
          <w:szCs w:val="22"/>
        </w:rPr>
        <w:t xml:space="preserve">A </w:t>
      </w:r>
      <w:r w:rsidR="002F6ED0" w:rsidRPr="007D7EDF">
        <w:rPr>
          <w:sz w:val="22"/>
          <w:szCs w:val="22"/>
        </w:rPr>
        <w:t xml:space="preserve">Base </w:t>
      </w:r>
      <w:r>
        <w:rPr>
          <w:sz w:val="22"/>
          <w:szCs w:val="22"/>
        </w:rPr>
        <w:t>M</w:t>
      </w:r>
      <w:r w:rsidR="002F6ED0" w:rsidRPr="007D7EDF">
        <w:rPr>
          <w:sz w:val="22"/>
          <w:szCs w:val="22"/>
        </w:rPr>
        <w:t>ap will be created to cover Capital Region, but generally bounded by Clinton, Eaton, and Ingham county boundaries. Reference points may include township and municipal boundaries, highways and roads, major geographic landmarks.</w:t>
      </w:r>
    </w:p>
    <w:p w14:paraId="4A3812DE" w14:textId="77777777" w:rsidR="00143128" w:rsidRPr="00143128" w:rsidRDefault="00143128" w:rsidP="00143128">
      <w:pPr>
        <w:rPr>
          <w:sz w:val="8"/>
          <w:szCs w:val="8"/>
        </w:rPr>
      </w:pPr>
    </w:p>
    <w:p w14:paraId="6F37C5BF" w14:textId="2BB45F97" w:rsidR="002F6ED0" w:rsidRPr="007D7EDF" w:rsidRDefault="002F6ED0" w:rsidP="00143128">
      <w:pPr>
        <w:pStyle w:val="ListParagraph"/>
        <w:numPr>
          <w:ilvl w:val="0"/>
          <w:numId w:val="10"/>
        </w:numPr>
        <w:rPr>
          <w:sz w:val="22"/>
          <w:szCs w:val="22"/>
        </w:rPr>
      </w:pPr>
      <w:r w:rsidRPr="007D7EDF">
        <w:rPr>
          <w:sz w:val="22"/>
          <w:szCs w:val="22"/>
        </w:rPr>
        <w:t xml:space="preserve">Geospatial data/thematic maps </w:t>
      </w:r>
      <w:r w:rsidR="00F34850">
        <w:rPr>
          <w:sz w:val="22"/>
          <w:szCs w:val="22"/>
        </w:rPr>
        <w:t xml:space="preserve">(as available) will provide the ability to </w:t>
      </w:r>
      <w:r w:rsidRPr="007D7EDF">
        <w:rPr>
          <w:sz w:val="22"/>
          <w:szCs w:val="22"/>
        </w:rPr>
        <w:t xml:space="preserve">overlay </w:t>
      </w:r>
      <w:r w:rsidR="00F34850">
        <w:rPr>
          <w:sz w:val="22"/>
          <w:szCs w:val="22"/>
        </w:rPr>
        <w:t>and visualize available data at specific locations throughout the Capital Region.</w:t>
      </w:r>
    </w:p>
    <w:p w14:paraId="4E235533" w14:textId="77777777" w:rsidR="00143128" w:rsidRPr="00143128" w:rsidRDefault="00143128" w:rsidP="00143128">
      <w:pPr>
        <w:rPr>
          <w:sz w:val="8"/>
          <w:szCs w:val="8"/>
        </w:rPr>
      </w:pPr>
    </w:p>
    <w:p w14:paraId="50F2458B" w14:textId="17370B61" w:rsidR="002F6ED0" w:rsidRPr="00143128" w:rsidRDefault="00F34850" w:rsidP="00143128">
      <w:pPr>
        <w:pStyle w:val="ListParagraph"/>
        <w:numPr>
          <w:ilvl w:val="0"/>
          <w:numId w:val="10"/>
        </w:numPr>
        <w:rPr>
          <w:sz w:val="22"/>
          <w:szCs w:val="22"/>
        </w:rPr>
      </w:pPr>
      <w:r>
        <w:rPr>
          <w:sz w:val="22"/>
          <w:szCs w:val="22"/>
        </w:rPr>
        <w:t>A q</w:t>
      </w:r>
      <w:r w:rsidR="002F6ED0" w:rsidRPr="00143128">
        <w:rPr>
          <w:sz w:val="22"/>
          <w:szCs w:val="22"/>
        </w:rPr>
        <w:t>uery</w:t>
      </w:r>
      <w:r>
        <w:rPr>
          <w:sz w:val="22"/>
          <w:szCs w:val="22"/>
        </w:rPr>
        <w:t>-based</w:t>
      </w:r>
      <w:r w:rsidR="002F6ED0" w:rsidRPr="00143128">
        <w:rPr>
          <w:sz w:val="22"/>
          <w:szCs w:val="22"/>
        </w:rPr>
        <w:t xml:space="preserve"> toolkit </w:t>
      </w:r>
      <w:r>
        <w:rPr>
          <w:sz w:val="22"/>
          <w:szCs w:val="22"/>
        </w:rPr>
        <w:t>using a digital version of the Meridian</w:t>
      </w:r>
      <w:r w:rsidR="002F6ED0" w:rsidRPr="00143128">
        <w:rPr>
          <w:sz w:val="22"/>
          <w:szCs w:val="22"/>
        </w:rPr>
        <w:t xml:space="preserve"> HIA Checklist</w:t>
      </w:r>
      <w:r w:rsidR="00143128" w:rsidRPr="00143128">
        <w:rPr>
          <w:sz w:val="22"/>
          <w:szCs w:val="22"/>
        </w:rPr>
        <w:t xml:space="preserve"> will provide s</w:t>
      </w:r>
      <w:r w:rsidR="002F6ED0" w:rsidRPr="00143128">
        <w:rPr>
          <w:sz w:val="22"/>
          <w:szCs w:val="22"/>
        </w:rPr>
        <w:t>imple analysis capabilities</w:t>
      </w:r>
      <w:r w:rsidR="00143128" w:rsidRPr="00143128">
        <w:rPr>
          <w:sz w:val="22"/>
          <w:szCs w:val="22"/>
        </w:rPr>
        <w:t>, d</w:t>
      </w:r>
      <w:r w:rsidR="002F6ED0" w:rsidRPr="00143128">
        <w:rPr>
          <w:sz w:val="22"/>
          <w:szCs w:val="22"/>
        </w:rPr>
        <w:t>raw/pinpoint prospective project location</w:t>
      </w:r>
      <w:r w:rsidR="00143128" w:rsidRPr="00143128">
        <w:rPr>
          <w:sz w:val="22"/>
          <w:szCs w:val="22"/>
        </w:rPr>
        <w:t>, p</w:t>
      </w:r>
      <w:r w:rsidR="002F6ED0" w:rsidRPr="00143128">
        <w:rPr>
          <w:sz w:val="22"/>
          <w:szCs w:val="22"/>
        </w:rPr>
        <w:t>roject description (provided by local unit of government permitting agency)</w:t>
      </w:r>
      <w:r w:rsidR="00143128" w:rsidRPr="00143128">
        <w:rPr>
          <w:sz w:val="22"/>
          <w:szCs w:val="22"/>
        </w:rPr>
        <w:t>, m</w:t>
      </w:r>
      <w:r w:rsidR="002F6ED0" w:rsidRPr="00143128">
        <w:rPr>
          <w:sz w:val="22"/>
          <w:szCs w:val="22"/>
        </w:rPr>
        <w:t>etrics: proximity, presence/absence, yes/no</w:t>
      </w:r>
      <w:r w:rsidR="00143128" w:rsidRPr="00143128">
        <w:rPr>
          <w:sz w:val="22"/>
          <w:szCs w:val="22"/>
        </w:rPr>
        <w:t>; and v</w:t>
      </w:r>
      <w:r w:rsidR="002F6ED0" w:rsidRPr="00143128">
        <w:rPr>
          <w:sz w:val="22"/>
          <w:szCs w:val="22"/>
        </w:rPr>
        <w:t>ariable descriptions</w:t>
      </w:r>
      <w:r>
        <w:rPr>
          <w:sz w:val="22"/>
          <w:szCs w:val="22"/>
        </w:rPr>
        <w:t>.</w:t>
      </w:r>
    </w:p>
    <w:p w14:paraId="27FCB5D3" w14:textId="77777777" w:rsidR="00143128" w:rsidRPr="00143128" w:rsidRDefault="00143128" w:rsidP="00143128">
      <w:pPr>
        <w:rPr>
          <w:sz w:val="8"/>
          <w:szCs w:val="8"/>
        </w:rPr>
      </w:pPr>
    </w:p>
    <w:p w14:paraId="57A57BD1" w14:textId="3AAB03CE" w:rsidR="00143128" w:rsidRPr="00143128" w:rsidRDefault="00F34850" w:rsidP="00143128">
      <w:pPr>
        <w:pStyle w:val="ListParagraph"/>
        <w:numPr>
          <w:ilvl w:val="0"/>
          <w:numId w:val="10"/>
        </w:numPr>
        <w:rPr>
          <w:sz w:val="22"/>
          <w:szCs w:val="22"/>
          <w:lang w:eastAsia="ja-JP"/>
        </w:rPr>
      </w:pPr>
      <w:r>
        <w:rPr>
          <w:sz w:val="22"/>
          <w:szCs w:val="22"/>
        </w:rPr>
        <w:t>The toolkit will provide i</w:t>
      </w:r>
      <w:r w:rsidR="002F6ED0" w:rsidRPr="00143128">
        <w:rPr>
          <w:sz w:val="22"/>
          <w:szCs w:val="22"/>
        </w:rPr>
        <w:t xml:space="preserve">mpact assessment </w:t>
      </w:r>
      <w:r>
        <w:rPr>
          <w:sz w:val="22"/>
          <w:szCs w:val="22"/>
        </w:rPr>
        <w:t>using a digital version of the Meridian</w:t>
      </w:r>
      <w:r w:rsidRPr="00143128">
        <w:rPr>
          <w:sz w:val="22"/>
          <w:szCs w:val="22"/>
        </w:rPr>
        <w:t xml:space="preserve"> HIA Checklist</w:t>
      </w:r>
      <w:r>
        <w:rPr>
          <w:sz w:val="22"/>
          <w:szCs w:val="22"/>
        </w:rPr>
        <w:t xml:space="preserve"> and the Matrix.</w:t>
      </w:r>
    </w:p>
    <w:p w14:paraId="254DB1BB" w14:textId="1EB6145E" w:rsidR="002F6ED0" w:rsidRPr="00143128" w:rsidRDefault="002F6ED0" w:rsidP="00143128">
      <w:pPr>
        <w:rPr>
          <w:sz w:val="16"/>
          <w:szCs w:val="16"/>
          <w:lang w:eastAsia="ja-JP"/>
        </w:rPr>
      </w:pPr>
    </w:p>
    <w:p w14:paraId="30A82761" w14:textId="77777777" w:rsidR="002F6ED0" w:rsidRPr="007D7EDF" w:rsidRDefault="002F6ED0" w:rsidP="002F6ED0">
      <w:pPr>
        <w:rPr>
          <w:sz w:val="22"/>
          <w:szCs w:val="22"/>
        </w:rPr>
      </w:pPr>
      <w:r w:rsidRPr="007D7EDF">
        <w:rPr>
          <w:sz w:val="22"/>
          <w:szCs w:val="22"/>
        </w:rPr>
        <w:t>The fully operational version of the complete toolkit will include: (a) measurable community health indicators and community goals for healthy community design; (b) identify and locate at-risk populations and potential environmental risks; (c) include links to online resources, best practices, HIA practitioners, government and private sector entities using HIAs, and other resources as appropriate; (d) links to projects that have used the toolkit; at least two case studies of successful applications of the toolkit; and (e) documentation that will facilitate adaptation of the online toolkit by other jurisdictions. A schematic depiction of the user interface is shown in the enclosed figure. A similar set of operational variables will be developed in coordination with the energy-related projects.</w:t>
      </w:r>
    </w:p>
    <w:p w14:paraId="4B179189" w14:textId="77777777" w:rsidR="00895E03" w:rsidRDefault="00895E03" w:rsidP="00895E03">
      <w:pPr>
        <w:rPr>
          <w:sz w:val="22"/>
          <w:szCs w:val="22"/>
        </w:rPr>
      </w:pPr>
    </w:p>
    <w:p w14:paraId="695A7C39" w14:textId="77777777" w:rsidR="00E21188" w:rsidRPr="001E79C9" w:rsidRDefault="00E21188" w:rsidP="00E21188">
      <w:pPr>
        <w:rPr>
          <w:sz w:val="22"/>
          <w:szCs w:val="22"/>
          <w:u w:val="single"/>
          <w:lang w:eastAsia="ja-JP"/>
        </w:rPr>
      </w:pPr>
      <w:r w:rsidRPr="001E79C9">
        <w:rPr>
          <w:sz w:val="22"/>
          <w:szCs w:val="22"/>
          <w:u w:val="single"/>
          <w:lang w:eastAsia="ja-JP"/>
        </w:rPr>
        <w:t>Regional Environmental Health Information System</w:t>
      </w:r>
    </w:p>
    <w:p w14:paraId="4F5C7C29" w14:textId="77777777" w:rsidR="00E21188" w:rsidRPr="00143128" w:rsidRDefault="00E21188" w:rsidP="00E21188">
      <w:pPr>
        <w:rPr>
          <w:sz w:val="16"/>
          <w:szCs w:val="16"/>
          <w:lang w:eastAsia="ja-JP"/>
        </w:rPr>
      </w:pPr>
    </w:p>
    <w:p w14:paraId="2A14087D" w14:textId="77777777" w:rsidR="00E21188" w:rsidRPr="007D7EDF" w:rsidRDefault="00E21188" w:rsidP="00E21188">
      <w:pPr>
        <w:rPr>
          <w:sz w:val="22"/>
          <w:szCs w:val="22"/>
          <w:lang w:eastAsia="ja-JP"/>
        </w:rPr>
      </w:pPr>
      <w:r>
        <w:rPr>
          <w:sz w:val="22"/>
          <w:szCs w:val="22"/>
          <w:lang w:eastAsia="ja-JP"/>
        </w:rPr>
        <w:t xml:space="preserve">The </w:t>
      </w:r>
      <w:r w:rsidRPr="007D7EDF">
        <w:rPr>
          <w:sz w:val="22"/>
          <w:szCs w:val="22"/>
          <w:lang w:eastAsia="ja-JP"/>
        </w:rPr>
        <w:t>ICHD Environmental Health Mapper (</w:t>
      </w:r>
      <w:hyperlink r:id="rId13" w:history="1">
        <w:r w:rsidRPr="007D7EDF">
          <w:rPr>
            <w:rStyle w:val="Hyperlink"/>
            <w:sz w:val="22"/>
            <w:szCs w:val="22"/>
            <w:lang w:eastAsia="ja-JP"/>
          </w:rPr>
          <w:t>http://hdgis.ingham.org/ICHD/Map.aspx</w:t>
        </w:r>
      </w:hyperlink>
      <w:r w:rsidRPr="007D7EDF">
        <w:rPr>
          <w:sz w:val="22"/>
          <w:szCs w:val="22"/>
          <w:lang w:eastAsia="ja-JP"/>
        </w:rPr>
        <w:t xml:space="preserve">) which will be used as a template for visualizing and mapping environmental health data housed within the county, including well logs, pollution prevention sites, potentially contaminated soils and groundwater, and so on. Data can be viewed at both county and regional scales, as well as by individual parcels. The toolkit will ultimately provide access to comparable data for both Eaton and Clinton counties using EH Mapper as a template. In addition to maintaining ICHD EH Mapper, </w:t>
      </w:r>
      <w:r>
        <w:rPr>
          <w:sz w:val="22"/>
          <w:szCs w:val="22"/>
          <w:lang w:eastAsia="ja-JP"/>
        </w:rPr>
        <w:t>we</w:t>
      </w:r>
      <w:r w:rsidRPr="007D7EDF">
        <w:rPr>
          <w:sz w:val="22"/>
          <w:szCs w:val="22"/>
          <w:lang w:eastAsia="ja-JP"/>
        </w:rPr>
        <w:t xml:space="preserve"> will assess GIS capabilities and data resources in the other counties and provide training to county GIS personnel in establishing the parcel-level base maps, conditioning data, and building the interfaces. All three counties will then comprise a regional environmental health mapping application.</w:t>
      </w:r>
    </w:p>
    <w:p w14:paraId="5D9663D9" w14:textId="77777777" w:rsidR="00E21188" w:rsidRPr="007D7EDF" w:rsidRDefault="00E21188" w:rsidP="00E21188">
      <w:pPr>
        <w:rPr>
          <w:sz w:val="22"/>
          <w:szCs w:val="22"/>
          <w:lang w:eastAsia="ja-JP"/>
        </w:rPr>
      </w:pPr>
    </w:p>
    <w:p w14:paraId="6E238842" w14:textId="77777777" w:rsidR="002F6ED0" w:rsidRPr="007D7EDF" w:rsidRDefault="002F6ED0" w:rsidP="002F6ED0">
      <w:pPr>
        <w:rPr>
          <w:sz w:val="22"/>
          <w:szCs w:val="22"/>
          <w:u w:val="single"/>
        </w:rPr>
      </w:pPr>
      <w:r w:rsidRPr="007D7EDF">
        <w:rPr>
          <w:sz w:val="22"/>
          <w:szCs w:val="22"/>
          <w:u w:val="single"/>
        </w:rPr>
        <w:t>Integration with Local Planners and Decision Makers</w:t>
      </w:r>
    </w:p>
    <w:p w14:paraId="64BEA881" w14:textId="77777777" w:rsidR="00143128" w:rsidRPr="00143128" w:rsidRDefault="00143128" w:rsidP="00143128">
      <w:pPr>
        <w:rPr>
          <w:sz w:val="16"/>
          <w:szCs w:val="16"/>
          <w:lang w:eastAsia="ja-JP"/>
        </w:rPr>
      </w:pPr>
    </w:p>
    <w:p w14:paraId="7C8E15D2" w14:textId="43EF783F" w:rsidR="002F6ED0" w:rsidRDefault="002F6ED0" w:rsidP="002F6ED0">
      <w:pPr>
        <w:rPr>
          <w:sz w:val="22"/>
          <w:szCs w:val="22"/>
        </w:rPr>
      </w:pPr>
      <w:r w:rsidRPr="007D7EDF">
        <w:rPr>
          <w:sz w:val="22"/>
          <w:szCs w:val="22"/>
        </w:rPr>
        <w:t>To ensure that the toolkit can be seamlessly applied to target decision-making processes, develop appropriate metrics, interfaces, and toolkit content to make the toolkit compatible with master planning and zoning ordinances, permit requirements, and other legal standards. In coordination with appropriate officials in the target jurisdictions, develop and secure the implementation of at least two new policies that integrate the use of the HIA Toolkit and/or the HIA Checklist into planning or permitting decisions. These will include a Health Equity Impact Review Tool for local governing boards and commissioners, and a countywide policy to encourage the use of HIA and the HIA Toolkit and Checklist in local decisionmaking.</w:t>
      </w:r>
      <w:r w:rsidR="00F34850">
        <w:rPr>
          <w:sz w:val="22"/>
          <w:szCs w:val="22"/>
          <w:lang w:eastAsia="ja-JP"/>
        </w:rPr>
        <w:t xml:space="preserve"> </w:t>
      </w:r>
      <w:r w:rsidRPr="007D7EDF">
        <w:rPr>
          <w:sz w:val="22"/>
          <w:szCs w:val="22"/>
          <w:lang w:eastAsia="ja-JP"/>
        </w:rPr>
        <w:t xml:space="preserve">The </w:t>
      </w:r>
      <w:r w:rsidR="00E21188">
        <w:rPr>
          <w:sz w:val="22"/>
          <w:szCs w:val="22"/>
          <w:lang w:eastAsia="ja-JP"/>
        </w:rPr>
        <w:t>Health Impact Assessment Project</w:t>
      </w:r>
      <w:r w:rsidRPr="007D7EDF">
        <w:rPr>
          <w:sz w:val="22"/>
          <w:szCs w:val="22"/>
          <w:lang w:eastAsia="ja-JP"/>
        </w:rPr>
        <w:t xml:space="preserve"> Team will c</w:t>
      </w:r>
      <w:r w:rsidR="00F34850">
        <w:rPr>
          <w:sz w:val="22"/>
          <w:szCs w:val="22"/>
        </w:rPr>
        <w:t xml:space="preserve">onduct </w:t>
      </w:r>
      <w:r w:rsidRPr="007D7EDF">
        <w:rPr>
          <w:sz w:val="22"/>
          <w:szCs w:val="22"/>
        </w:rPr>
        <w:t>trainings on the use of the toolkit for interested local community organizations and officials.</w:t>
      </w:r>
    </w:p>
    <w:p w14:paraId="065F8908" w14:textId="77777777" w:rsidR="00367782" w:rsidRDefault="00367782" w:rsidP="002F6ED0">
      <w:pPr>
        <w:rPr>
          <w:sz w:val="22"/>
          <w:szCs w:val="22"/>
        </w:rPr>
      </w:pPr>
    </w:p>
    <w:p w14:paraId="00447B38" w14:textId="77777777" w:rsidR="00367782" w:rsidRDefault="00367782" w:rsidP="002F6ED0">
      <w:pPr>
        <w:rPr>
          <w:sz w:val="22"/>
          <w:szCs w:val="22"/>
        </w:rPr>
      </w:pPr>
    </w:p>
    <w:p w14:paraId="1A18B606" w14:textId="3F5A24D9" w:rsidR="00367782" w:rsidRPr="00367782" w:rsidRDefault="00367782" w:rsidP="002F6ED0">
      <w:pPr>
        <w:rPr>
          <w:b/>
        </w:rPr>
      </w:pPr>
      <w:r w:rsidRPr="00367782">
        <w:rPr>
          <w:b/>
        </w:rPr>
        <w:t>Attachments</w:t>
      </w:r>
    </w:p>
    <w:p w14:paraId="410BCDE9" w14:textId="77777777" w:rsidR="00367782" w:rsidRDefault="00367782" w:rsidP="002F6ED0">
      <w:pPr>
        <w:rPr>
          <w:sz w:val="22"/>
          <w:szCs w:val="22"/>
        </w:rPr>
      </w:pPr>
    </w:p>
    <w:p w14:paraId="4CA7A14E" w14:textId="3B83B395" w:rsidR="00367782" w:rsidRDefault="00367782" w:rsidP="002F6ED0">
      <w:pPr>
        <w:rPr>
          <w:sz w:val="22"/>
          <w:szCs w:val="22"/>
        </w:rPr>
      </w:pPr>
      <w:r>
        <w:rPr>
          <w:sz w:val="22"/>
          <w:szCs w:val="22"/>
        </w:rPr>
        <w:t>Appendix A: HIA On-Line Impact Assessment Tool – Survey Questions and Results</w:t>
      </w:r>
    </w:p>
    <w:p w14:paraId="55E41E40" w14:textId="77777777" w:rsidR="00367782" w:rsidRDefault="00367782" w:rsidP="002F6ED0">
      <w:pPr>
        <w:rPr>
          <w:sz w:val="22"/>
          <w:szCs w:val="22"/>
        </w:rPr>
      </w:pPr>
    </w:p>
    <w:p w14:paraId="0774CE89" w14:textId="60A0F6C3" w:rsidR="00367782" w:rsidRPr="00F34850" w:rsidRDefault="00367782" w:rsidP="002F6ED0">
      <w:pPr>
        <w:rPr>
          <w:sz w:val="22"/>
          <w:szCs w:val="22"/>
          <w:lang w:eastAsia="ja-JP"/>
        </w:rPr>
      </w:pPr>
      <w:r>
        <w:rPr>
          <w:sz w:val="22"/>
          <w:szCs w:val="22"/>
        </w:rPr>
        <w:t>Appendix B: HIA Checklist, GIS Specifications, and Data Requirements</w:t>
      </w:r>
    </w:p>
    <w:sectPr w:rsidR="00367782" w:rsidRPr="00F34850" w:rsidSect="004048FA">
      <w:headerReference w:type="default" r:id="rId1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6C735" w14:textId="77777777" w:rsidR="00EE5A63" w:rsidRDefault="00EE5A63" w:rsidP="008403CA">
      <w:r>
        <w:separator/>
      </w:r>
    </w:p>
  </w:endnote>
  <w:endnote w:type="continuationSeparator" w:id="0">
    <w:p w14:paraId="2FED9827" w14:textId="77777777" w:rsidR="00EE5A63" w:rsidRDefault="00EE5A63" w:rsidP="0084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S ??">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C0AE" w14:textId="77777777" w:rsidR="00EE5A63" w:rsidRDefault="00EE5A63" w:rsidP="00C46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C8448" w14:textId="77777777" w:rsidR="00EE5A63" w:rsidRDefault="00EE5A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CB957" w14:textId="77777777" w:rsidR="00EE5A63" w:rsidRPr="00C4615C" w:rsidRDefault="00EE5A63" w:rsidP="00C4615C">
    <w:pPr>
      <w:pStyle w:val="Footer"/>
      <w:framePr w:wrap="around" w:vAnchor="text" w:hAnchor="margin" w:xAlign="center" w:y="1"/>
      <w:rPr>
        <w:rStyle w:val="PageNumber"/>
        <w:rFonts w:ascii="Arial" w:hAnsi="Arial"/>
        <w:sz w:val="20"/>
        <w:szCs w:val="20"/>
      </w:rPr>
    </w:pPr>
    <w:r w:rsidRPr="00C4615C">
      <w:rPr>
        <w:rStyle w:val="PageNumber"/>
        <w:rFonts w:ascii="Arial" w:hAnsi="Arial"/>
        <w:sz w:val="20"/>
        <w:szCs w:val="20"/>
      </w:rPr>
      <w:fldChar w:fldCharType="begin"/>
    </w:r>
    <w:r w:rsidRPr="00C4615C">
      <w:rPr>
        <w:rStyle w:val="PageNumber"/>
        <w:rFonts w:ascii="Arial" w:hAnsi="Arial"/>
        <w:sz w:val="20"/>
        <w:szCs w:val="20"/>
      </w:rPr>
      <w:instrText xml:space="preserve">PAGE  </w:instrText>
    </w:r>
    <w:r w:rsidRPr="00C4615C">
      <w:rPr>
        <w:rStyle w:val="PageNumber"/>
        <w:rFonts w:ascii="Arial" w:hAnsi="Arial"/>
        <w:sz w:val="20"/>
        <w:szCs w:val="20"/>
      </w:rPr>
      <w:fldChar w:fldCharType="separate"/>
    </w:r>
    <w:r w:rsidR="006C2E73">
      <w:rPr>
        <w:rStyle w:val="PageNumber"/>
        <w:rFonts w:ascii="Arial" w:hAnsi="Arial"/>
        <w:noProof/>
        <w:sz w:val="20"/>
        <w:szCs w:val="20"/>
      </w:rPr>
      <w:t>1</w:t>
    </w:r>
    <w:r w:rsidRPr="00C4615C">
      <w:rPr>
        <w:rStyle w:val="PageNumber"/>
        <w:rFonts w:ascii="Arial" w:hAnsi="Arial"/>
        <w:sz w:val="20"/>
        <w:szCs w:val="20"/>
      </w:rPr>
      <w:fldChar w:fldCharType="end"/>
    </w:r>
  </w:p>
  <w:p w14:paraId="0C5A49DA" w14:textId="77777777" w:rsidR="00EE5A63" w:rsidRDefault="00EE5A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0DF6E" w14:textId="77777777" w:rsidR="00EE5A63" w:rsidRDefault="00EE5A63" w:rsidP="008403CA">
      <w:r>
        <w:separator/>
      </w:r>
    </w:p>
  </w:footnote>
  <w:footnote w:type="continuationSeparator" w:id="0">
    <w:p w14:paraId="5539B209" w14:textId="77777777" w:rsidR="00EE5A63" w:rsidRDefault="00EE5A63" w:rsidP="008403CA">
      <w:r>
        <w:continuationSeparator/>
      </w:r>
    </w:p>
  </w:footnote>
  <w:footnote w:id="1">
    <w:p w14:paraId="4380E1DE" w14:textId="4265CF6D" w:rsidR="00EE5A63" w:rsidRPr="007D7EDF" w:rsidRDefault="00EE5A63" w:rsidP="007803BB">
      <w:pPr>
        <w:rPr>
          <w:sz w:val="22"/>
          <w:szCs w:val="22"/>
          <w:lang w:eastAsia="ja-JP"/>
        </w:rPr>
      </w:pPr>
      <w:r>
        <w:rPr>
          <w:rStyle w:val="FootnoteReference"/>
        </w:rPr>
        <w:footnoteRef/>
      </w:r>
      <w:r>
        <w:t xml:space="preserve"> </w:t>
      </w:r>
      <w:r w:rsidRPr="007803BB">
        <w:rPr>
          <w:sz w:val="20"/>
          <w:szCs w:val="20"/>
          <w:lang w:eastAsia="ja-JP"/>
        </w:rPr>
        <w:t>This toolkit is being developed under a Health Impact Program grant from a collaboration of the Robert Wood Johnson Foundation and the Pew Charitable Trusts (i.e., Pew Grant). Additional funding is being provided by the U.S. Department of Housing and Urban Development as part of the Mid-Michigan Program for Greater Sustainability. Michigan State University is also providing substantial matching funds to support this project.</w:t>
      </w:r>
    </w:p>
    <w:p w14:paraId="03937999" w14:textId="36450349" w:rsidR="00EE5A63" w:rsidRDefault="00EE5A6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CB1D" w14:textId="57EE9517" w:rsidR="00EE5A63" w:rsidRPr="00C4615C" w:rsidRDefault="006C2E73" w:rsidP="00C4615C">
    <w:pPr>
      <w:pStyle w:val="Header"/>
      <w:tabs>
        <w:tab w:val="clear" w:pos="8640"/>
        <w:tab w:val="right" w:pos="9360"/>
      </w:tabs>
      <w:rPr>
        <w:rFonts w:ascii="Arial" w:hAnsi="Arial" w:cs="Arial"/>
        <w:sz w:val="20"/>
        <w:szCs w:val="20"/>
      </w:rPr>
    </w:pPr>
    <w:r>
      <w:rPr>
        <w:rFonts w:ascii="Arial" w:hAnsi="Arial" w:cs="Arial"/>
        <w:sz w:val="20"/>
        <w:szCs w:val="20"/>
      </w:rPr>
      <w:t>FINAL DRAFT</w:t>
    </w:r>
    <w:r w:rsidR="00EE5A63" w:rsidRPr="00C4615C">
      <w:rPr>
        <w:rFonts w:ascii="Arial" w:hAnsi="Arial" w:cs="Arial"/>
        <w:sz w:val="20"/>
        <w:szCs w:val="20"/>
      </w:rPr>
      <w:t xml:space="preserve"> </w:t>
    </w:r>
    <w:r>
      <w:rPr>
        <w:rFonts w:ascii="Arial" w:hAnsi="Arial" w:cs="Arial"/>
        <w:sz w:val="20"/>
        <w:szCs w:val="20"/>
      </w:rPr>
      <w:t>9</w:t>
    </w:r>
    <w:r w:rsidR="00EE5A63" w:rsidRPr="00C4615C">
      <w:rPr>
        <w:rFonts w:ascii="Arial" w:hAnsi="Arial" w:cs="Arial"/>
        <w:sz w:val="20"/>
        <w:szCs w:val="20"/>
      </w:rPr>
      <w:t>/</w:t>
    </w:r>
    <w:r>
      <w:rPr>
        <w:rFonts w:ascii="Arial" w:hAnsi="Arial" w:cs="Arial"/>
        <w:sz w:val="20"/>
        <w:szCs w:val="20"/>
      </w:rPr>
      <w:t>12</w:t>
    </w:r>
    <w:r w:rsidR="00EE5A63" w:rsidRPr="00C4615C">
      <w:rPr>
        <w:rFonts w:ascii="Arial" w:hAnsi="Arial" w:cs="Arial"/>
        <w:sz w:val="20"/>
        <w:szCs w:val="20"/>
      </w:rPr>
      <w:t>/2013</w:t>
    </w:r>
    <w:r w:rsidR="00EE5A63" w:rsidRPr="00C4615C">
      <w:rPr>
        <w:rFonts w:ascii="Arial" w:hAnsi="Arial" w:cs="Arial"/>
        <w:sz w:val="20"/>
        <w:szCs w:val="20"/>
      </w:rPr>
      <w:tab/>
    </w:r>
    <w:r w:rsidR="00EE5A63" w:rsidRPr="00C4615C">
      <w:rPr>
        <w:rFonts w:ascii="Arial" w:hAnsi="Arial" w:cs="Arial"/>
        <w:sz w:val="20"/>
        <w:szCs w:val="20"/>
      </w:rPr>
      <w:tab/>
      <w:t>MSU/ICHD</w:t>
    </w:r>
    <w:r w:rsidR="00EE5A63">
      <w:rPr>
        <w:rFonts w:ascii="Arial" w:hAnsi="Arial" w:cs="Arial"/>
        <w:sz w:val="20"/>
        <w:szCs w:val="20"/>
      </w:rPr>
      <w:t xml:space="preserve"> Health Impact Assessment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824"/>
    <w:multiLevelType w:val="hybridMultilevel"/>
    <w:tmpl w:val="DDE4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21401"/>
    <w:multiLevelType w:val="hybridMultilevel"/>
    <w:tmpl w:val="467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138EA"/>
    <w:multiLevelType w:val="hybridMultilevel"/>
    <w:tmpl w:val="6AEC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B1442"/>
    <w:multiLevelType w:val="hybridMultilevel"/>
    <w:tmpl w:val="AFCC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713CC"/>
    <w:multiLevelType w:val="hybridMultilevel"/>
    <w:tmpl w:val="4FAE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90FD0"/>
    <w:multiLevelType w:val="hybridMultilevel"/>
    <w:tmpl w:val="995A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2731E"/>
    <w:multiLevelType w:val="hybridMultilevel"/>
    <w:tmpl w:val="36FA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8743A"/>
    <w:multiLevelType w:val="hybridMultilevel"/>
    <w:tmpl w:val="4D84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E6CC5"/>
    <w:multiLevelType w:val="hybridMultilevel"/>
    <w:tmpl w:val="312E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A7853"/>
    <w:multiLevelType w:val="hybridMultilevel"/>
    <w:tmpl w:val="B976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2"/>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03"/>
    <w:rsid w:val="00051D73"/>
    <w:rsid w:val="00060AA6"/>
    <w:rsid w:val="000E32A5"/>
    <w:rsid w:val="000F6BA1"/>
    <w:rsid w:val="001128F7"/>
    <w:rsid w:val="00143128"/>
    <w:rsid w:val="0018725D"/>
    <w:rsid w:val="001A056F"/>
    <w:rsid w:val="001E1F33"/>
    <w:rsid w:val="001E328C"/>
    <w:rsid w:val="001E79C9"/>
    <w:rsid w:val="002070D8"/>
    <w:rsid w:val="00216BCF"/>
    <w:rsid w:val="0022215C"/>
    <w:rsid w:val="00252F7A"/>
    <w:rsid w:val="002720B2"/>
    <w:rsid w:val="002A5B18"/>
    <w:rsid w:val="002C011E"/>
    <w:rsid w:val="002C3932"/>
    <w:rsid w:val="002C70FB"/>
    <w:rsid w:val="002F618C"/>
    <w:rsid w:val="002F6ED0"/>
    <w:rsid w:val="00304352"/>
    <w:rsid w:val="0031777B"/>
    <w:rsid w:val="003343A4"/>
    <w:rsid w:val="00367782"/>
    <w:rsid w:val="00372B70"/>
    <w:rsid w:val="004048FA"/>
    <w:rsid w:val="004271B2"/>
    <w:rsid w:val="00431ABE"/>
    <w:rsid w:val="00441626"/>
    <w:rsid w:val="00460A10"/>
    <w:rsid w:val="004A2E08"/>
    <w:rsid w:val="00525E75"/>
    <w:rsid w:val="005516BA"/>
    <w:rsid w:val="00567459"/>
    <w:rsid w:val="00570D35"/>
    <w:rsid w:val="00591A0E"/>
    <w:rsid w:val="005B4A73"/>
    <w:rsid w:val="005B4F11"/>
    <w:rsid w:val="005C2DE9"/>
    <w:rsid w:val="00605080"/>
    <w:rsid w:val="00611B3B"/>
    <w:rsid w:val="006441FC"/>
    <w:rsid w:val="0066730B"/>
    <w:rsid w:val="006C2E73"/>
    <w:rsid w:val="00720C7C"/>
    <w:rsid w:val="007803BB"/>
    <w:rsid w:val="007D7EDF"/>
    <w:rsid w:val="00812678"/>
    <w:rsid w:val="008210D0"/>
    <w:rsid w:val="00826CC8"/>
    <w:rsid w:val="008403CA"/>
    <w:rsid w:val="00864F08"/>
    <w:rsid w:val="00874D05"/>
    <w:rsid w:val="00876B34"/>
    <w:rsid w:val="00885F30"/>
    <w:rsid w:val="00886C92"/>
    <w:rsid w:val="00895E03"/>
    <w:rsid w:val="00941699"/>
    <w:rsid w:val="00A46784"/>
    <w:rsid w:val="00A623F0"/>
    <w:rsid w:val="00AD0F63"/>
    <w:rsid w:val="00B22918"/>
    <w:rsid w:val="00B929BC"/>
    <w:rsid w:val="00BA3349"/>
    <w:rsid w:val="00C2703F"/>
    <w:rsid w:val="00C4615C"/>
    <w:rsid w:val="00C85DA7"/>
    <w:rsid w:val="00C94B10"/>
    <w:rsid w:val="00CB0C1B"/>
    <w:rsid w:val="00D16E66"/>
    <w:rsid w:val="00D64B63"/>
    <w:rsid w:val="00D94EEA"/>
    <w:rsid w:val="00E10E50"/>
    <w:rsid w:val="00E21188"/>
    <w:rsid w:val="00E5616B"/>
    <w:rsid w:val="00ED0A87"/>
    <w:rsid w:val="00ED7BC3"/>
    <w:rsid w:val="00EE5A63"/>
    <w:rsid w:val="00F34850"/>
    <w:rsid w:val="00F80F7E"/>
    <w:rsid w:val="00F91A02"/>
    <w:rsid w:val="00FC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240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0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03"/>
    <w:pPr>
      <w:ind w:left="720"/>
      <w:contextualSpacing/>
    </w:pPr>
  </w:style>
  <w:style w:type="paragraph" w:styleId="FootnoteText">
    <w:name w:val="footnote text"/>
    <w:basedOn w:val="Normal"/>
    <w:link w:val="FootnoteTextChar"/>
    <w:uiPriority w:val="99"/>
    <w:unhideWhenUsed/>
    <w:rsid w:val="008403CA"/>
    <w:rPr>
      <w:rFonts w:eastAsia="MS ??"/>
    </w:rPr>
  </w:style>
  <w:style w:type="character" w:customStyle="1" w:styleId="FootnoteTextChar">
    <w:name w:val="Footnote Text Char"/>
    <w:basedOn w:val="DefaultParagraphFont"/>
    <w:link w:val="FootnoteText"/>
    <w:uiPriority w:val="99"/>
    <w:rsid w:val="008403CA"/>
    <w:rPr>
      <w:rFonts w:eastAsia="MS ??"/>
      <w:sz w:val="24"/>
      <w:szCs w:val="24"/>
      <w:lang w:eastAsia="en-US"/>
    </w:rPr>
  </w:style>
  <w:style w:type="character" w:styleId="FootnoteReference">
    <w:name w:val="footnote reference"/>
    <w:uiPriority w:val="99"/>
    <w:unhideWhenUsed/>
    <w:rsid w:val="008403CA"/>
    <w:rPr>
      <w:rFonts w:cs="Times New Roman"/>
      <w:vertAlign w:val="superscript"/>
    </w:rPr>
  </w:style>
  <w:style w:type="character" w:styleId="Hyperlink">
    <w:name w:val="Hyperlink"/>
    <w:uiPriority w:val="99"/>
    <w:rsid w:val="002F6ED0"/>
    <w:rPr>
      <w:color w:val="0000FF"/>
      <w:u w:val="single"/>
    </w:rPr>
  </w:style>
  <w:style w:type="paragraph" w:styleId="NormalWeb">
    <w:name w:val="Normal (Web)"/>
    <w:basedOn w:val="Normal"/>
    <w:uiPriority w:val="99"/>
    <w:unhideWhenUsed/>
    <w:rsid w:val="002F6ED0"/>
    <w:pPr>
      <w:spacing w:before="100" w:beforeAutospacing="1" w:after="100" w:afterAutospacing="1"/>
    </w:pPr>
    <w:rPr>
      <w:rFonts w:ascii="Times" w:eastAsia="MS ??" w:hAnsi="Times"/>
      <w:sz w:val="20"/>
      <w:szCs w:val="20"/>
    </w:rPr>
  </w:style>
  <w:style w:type="paragraph" w:styleId="Header">
    <w:name w:val="header"/>
    <w:basedOn w:val="Normal"/>
    <w:link w:val="HeaderChar"/>
    <w:uiPriority w:val="99"/>
    <w:unhideWhenUsed/>
    <w:rsid w:val="00C4615C"/>
    <w:pPr>
      <w:tabs>
        <w:tab w:val="center" w:pos="4320"/>
        <w:tab w:val="right" w:pos="8640"/>
      </w:tabs>
    </w:pPr>
  </w:style>
  <w:style w:type="character" w:customStyle="1" w:styleId="HeaderChar">
    <w:name w:val="Header Char"/>
    <w:basedOn w:val="DefaultParagraphFont"/>
    <w:link w:val="Header"/>
    <w:uiPriority w:val="99"/>
    <w:rsid w:val="00C4615C"/>
    <w:rPr>
      <w:sz w:val="24"/>
      <w:szCs w:val="24"/>
      <w:lang w:eastAsia="en-US"/>
    </w:rPr>
  </w:style>
  <w:style w:type="paragraph" w:styleId="Footer">
    <w:name w:val="footer"/>
    <w:basedOn w:val="Normal"/>
    <w:link w:val="FooterChar"/>
    <w:uiPriority w:val="99"/>
    <w:unhideWhenUsed/>
    <w:rsid w:val="00C4615C"/>
    <w:pPr>
      <w:tabs>
        <w:tab w:val="center" w:pos="4320"/>
        <w:tab w:val="right" w:pos="8640"/>
      </w:tabs>
    </w:pPr>
  </w:style>
  <w:style w:type="character" w:customStyle="1" w:styleId="FooterChar">
    <w:name w:val="Footer Char"/>
    <w:basedOn w:val="DefaultParagraphFont"/>
    <w:link w:val="Footer"/>
    <w:uiPriority w:val="99"/>
    <w:rsid w:val="00C4615C"/>
    <w:rPr>
      <w:sz w:val="24"/>
      <w:szCs w:val="24"/>
      <w:lang w:eastAsia="en-US"/>
    </w:rPr>
  </w:style>
  <w:style w:type="character" w:styleId="PageNumber">
    <w:name w:val="page number"/>
    <w:basedOn w:val="DefaultParagraphFont"/>
    <w:uiPriority w:val="99"/>
    <w:semiHidden/>
    <w:unhideWhenUsed/>
    <w:rsid w:val="00C4615C"/>
  </w:style>
  <w:style w:type="table" w:styleId="TableGrid">
    <w:name w:val="Table Grid"/>
    <w:basedOn w:val="TableNormal"/>
    <w:uiPriority w:val="59"/>
    <w:rsid w:val="004A2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71B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0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03"/>
    <w:pPr>
      <w:ind w:left="720"/>
      <w:contextualSpacing/>
    </w:pPr>
  </w:style>
  <w:style w:type="paragraph" w:styleId="FootnoteText">
    <w:name w:val="footnote text"/>
    <w:basedOn w:val="Normal"/>
    <w:link w:val="FootnoteTextChar"/>
    <w:uiPriority w:val="99"/>
    <w:unhideWhenUsed/>
    <w:rsid w:val="008403CA"/>
    <w:rPr>
      <w:rFonts w:eastAsia="MS ??"/>
    </w:rPr>
  </w:style>
  <w:style w:type="character" w:customStyle="1" w:styleId="FootnoteTextChar">
    <w:name w:val="Footnote Text Char"/>
    <w:basedOn w:val="DefaultParagraphFont"/>
    <w:link w:val="FootnoteText"/>
    <w:uiPriority w:val="99"/>
    <w:rsid w:val="008403CA"/>
    <w:rPr>
      <w:rFonts w:eastAsia="MS ??"/>
      <w:sz w:val="24"/>
      <w:szCs w:val="24"/>
      <w:lang w:eastAsia="en-US"/>
    </w:rPr>
  </w:style>
  <w:style w:type="character" w:styleId="FootnoteReference">
    <w:name w:val="footnote reference"/>
    <w:uiPriority w:val="99"/>
    <w:unhideWhenUsed/>
    <w:rsid w:val="008403CA"/>
    <w:rPr>
      <w:rFonts w:cs="Times New Roman"/>
      <w:vertAlign w:val="superscript"/>
    </w:rPr>
  </w:style>
  <w:style w:type="character" w:styleId="Hyperlink">
    <w:name w:val="Hyperlink"/>
    <w:uiPriority w:val="99"/>
    <w:rsid w:val="002F6ED0"/>
    <w:rPr>
      <w:color w:val="0000FF"/>
      <w:u w:val="single"/>
    </w:rPr>
  </w:style>
  <w:style w:type="paragraph" w:styleId="NormalWeb">
    <w:name w:val="Normal (Web)"/>
    <w:basedOn w:val="Normal"/>
    <w:uiPriority w:val="99"/>
    <w:unhideWhenUsed/>
    <w:rsid w:val="002F6ED0"/>
    <w:pPr>
      <w:spacing w:before="100" w:beforeAutospacing="1" w:after="100" w:afterAutospacing="1"/>
    </w:pPr>
    <w:rPr>
      <w:rFonts w:ascii="Times" w:eastAsia="MS ??" w:hAnsi="Times"/>
      <w:sz w:val="20"/>
      <w:szCs w:val="20"/>
    </w:rPr>
  </w:style>
  <w:style w:type="paragraph" w:styleId="Header">
    <w:name w:val="header"/>
    <w:basedOn w:val="Normal"/>
    <w:link w:val="HeaderChar"/>
    <w:uiPriority w:val="99"/>
    <w:unhideWhenUsed/>
    <w:rsid w:val="00C4615C"/>
    <w:pPr>
      <w:tabs>
        <w:tab w:val="center" w:pos="4320"/>
        <w:tab w:val="right" w:pos="8640"/>
      </w:tabs>
    </w:pPr>
  </w:style>
  <w:style w:type="character" w:customStyle="1" w:styleId="HeaderChar">
    <w:name w:val="Header Char"/>
    <w:basedOn w:val="DefaultParagraphFont"/>
    <w:link w:val="Header"/>
    <w:uiPriority w:val="99"/>
    <w:rsid w:val="00C4615C"/>
    <w:rPr>
      <w:sz w:val="24"/>
      <w:szCs w:val="24"/>
      <w:lang w:eastAsia="en-US"/>
    </w:rPr>
  </w:style>
  <w:style w:type="paragraph" w:styleId="Footer">
    <w:name w:val="footer"/>
    <w:basedOn w:val="Normal"/>
    <w:link w:val="FooterChar"/>
    <w:uiPriority w:val="99"/>
    <w:unhideWhenUsed/>
    <w:rsid w:val="00C4615C"/>
    <w:pPr>
      <w:tabs>
        <w:tab w:val="center" w:pos="4320"/>
        <w:tab w:val="right" w:pos="8640"/>
      </w:tabs>
    </w:pPr>
  </w:style>
  <w:style w:type="character" w:customStyle="1" w:styleId="FooterChar">
    <w:name w:val="Footer Char"/>
    <w:basedOn w:val="DefaultParagraphFont"/>
    <w:link w:val="Footer"/>
    <w:uiPriority w:val="99"/>
    <w:rsid w:val="00C4615C"/>
    <w:rPr>
      <w:sz w:val="24"/>
      <w:szCs w:val="24"/>
      <w:lang w:eastAsia="en-US"/>
    </w:rPr>
  </w:style>
  <w:style w:type="character" w:styleId="PageNumber">
    <w:name w:val="page number"/>
    <w:basedOn w:val="DefaultParagraphFont"/>
    <w:uiPriority w:val="99"/>
    <w:semiHidden/>
    <w:unhideWhenUsed/>
    <w:rsid w:val="00C4615C"/>
  </w:style>
  <w:style w:type="table" w:styleId="TableGrid">
    <w:name w:val="Table Grid"/>
    <w:basedOn w:val="TableNormal"/>
    <w:uiPriority w:val="59"/>
    <w:rsid w:val="004A2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7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tcrpc.org/" TargetMode="External"/><Relationship Id="rId12" Type="http://schemas.openxmlformats.org/officeDocument/2006/relationships/hyperlink" Target="http://www.midmichigansustainability.org/" TargetMode="External"/><Relationship Id="rId13" Type="http://schemas.openxmlformats.org/officeDocument/2006/relationships/hyperlink" Target="http://hdgis.ingham.org/ICHD/Map.asp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inton-county.org/Departments/MISGIS.aspx" TargetMode="External"/><Relationship Id="rId9" Type="http://schemas.openxmlformats.org/officeDocument/2006/relationships/hyperlink" Target="http://www.eatoncounty.org/departments/information-systems/gis" TargetMode="External"/><Relationship Id="rId10" Type="http://schemas.openxmlformats.org/officeDocument/2006/relationships/hyperlink" Target="http://hdgis.ingham.org/ICHD/Ma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8</Pages>
  <Words>3649</Words>
  <Characters>20800</Characters>
  <Application>Microsoft Macintosh Word</Application>
  <DocSecurity>0</DocSecurity>
  <Lines>173</Lines>
  <Paragraphs>48</Paragraphs>
  <ScaleCrop>false</ScaleCrop>
  <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Thomas</dc:creator>
  <cp:keywords/>
  <dc:description/>
  <cp:lastModifiedBy>Michael Thomas</cp:lastModifiedBy>
  <cp:revision>42</cp:revision>
  <dcterms:created xsi:type="dcterms:W3CDTF">2013-06-25T13:34:00Z</dcterms:created>
  <dcterms:modified xsi:type="dcterms:W3CDTF">2013-09-12T18:37:00Z</dcterms:modified>
</cp:coreProperties>
</file>